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24" w:rsidRPr="003D2D0C" w:rsidRDefault="00210924" w:rsidP="00210924">
      <w:pPr>
        <w:spacing w:after="0"/>
        <w:jc w:val="center"/>
        <w:rPr>
          <w:b/>
          <w:sz w:val="20"/>
          <w:szCs w:val="20"/>
        </w:rPr>
      </w:pPr>
      <w:r w:rsidRPr="003D2D0C">
        <w:rPr>
          <w:b/>
          <w:sz w:val="20"/>
          <w:szCs w:val="20"/>
        </w:rPr>
        <w:t xml:space="preserve">ДО УВАГИ АКЦІОНЕРІВ </w:t>
      </w:r>
    </w:p>
    <w:p w:rsidR="00210924" w:rsidRPr="003D2D0C" w:rsidRDefault="00210924" w:rsidP="00210924">
      <w:pPr>
        <w:spacing w:after="0"/>
        <w:jc w:val="center"/>
        <w:rPr>
          <w:b/>
          <w:sz w:val="20"/>
          <w:szCs w:val="20"/>
        </w:rPr>
      </w:pPr>
      <w:r w:rsidRPr="003D2D0C">
        <w:rPr>
          <w:b/>
          <w:sz w:val="20"/>
          <w:szCs w:val="20"/>
        </w:rPr>
        <w:t>Публічного акціонерного товариства</w:t>
      </w:r>
    </w:p>
    <w:p w:rsidR="00210924" w:rsidRPr="003D2D0C" w:rsidRDefault="00210924" w:rsidP="00210924">
      <w:pPr>
        <w:spacing w:after="0"/>
        <w:jc w:val="center"/>
        <w:rPr>
          <w:b/>
          <w:sz w:val="20"/>
          <w:szCs w:val="20"/>
        </w:rPr>
      </w:pPr>
      <w:r w:rsidRPr="003D2D0C">
        <w:rPr>
          <w:b/>
          <w:sz w:val="20"/>
          <w:szCs w:val="20"/>
        </w:rPr>
        <w:t xml:space="preserve"> «КИЇВСІЛЬЕЛЕКТРО» </w:t>
      </w:r>
    </w:p>
    <w:p w:rsidR="00210924" w:rsidRPr="003D2D0C" w:rsidRDefault="00210924" w:rsidP="00210924">
      <w:pPr>
        <w:spacing w:after="0"/>
        <w:jc w:val="center"/>
        <w:rPr>
          <w:b/>
          <w:sz w:val="20"/>
          <w:szCs w:val="20"/>
        </w:rPr>
      </w:pPr>
      <w:r w:rsidRPr="003D2D0C">
        <w:rPr>
          <w:b/>
          <w:sz w:val="20"/>
          <w:szCs w:val="20"/>
        </w:rPr>
        <w:t>(м. Київ, вул. Л. Толстого, 55 А)</w:t>
      </w:r>
    </w:p>
    <w:p w:rsidR="00210924" w:rsidRPr="003D2D0C" w:rsidRDefault="00210924" w:rsidP="00210924">
      <w:pPr>
        <w:jc w:val="center"/>
        <w:rPr>
          <w:sz w:val="20"/>
          <w:szCs w:val="20"/>
        </w:rPr>
      </w:pPr>
      <w:r w:rsidRPr="003D2D0C">
        <w:rPr>
          <w:sz w:val="20"/>
          <w:szCs w:val="20"/>
        </w:rPr>
        <w:t xml:space="preserve">Чергові загальні збори Товариства відбудуться </w:t>
      </w:r>
      <w:r w:rsidR="00EE5511">
        <w:rPr>
          <w:b/>
          <w:sz w:val="20"/>
          <w:szCs w:val="20"/>
        </w:rPr>
        <w:t>21</w:t>
      </w:r>
      <w:r w:rsidRPr="003D2D0C">
        <w:rPr>
          <w:b/>
          <w:sz w:val="20"/>
          <w:szCs w:val="20"/>
        </w:rPr>
        <w:t xml:space="preserve"> квітня 201</w:t>
      </w:r>
      <w:r w:rsidR="00EE5511">
        <w:rPr>
          <w:b/>
          <w:sz w:val="20"/>
          <w:szCs w:val="20"/>
        </w:rPr>
        <w:t>6</w:t>
      </w:r>
      <w:r w:rsidRPr="003D2D0C">
        <w:rPr>
          <w:b/>
          <w:sz w:val="20"/>
          <w:szCs w:val="20"/>
        </w:rPr>
        <w:t xml:space="preserve"> року</w:t>
      </w:r>
      <w:r w:rsidRPr="003D2D0C">
        <w:rPr>
          <w:sz w:val="20"/>
          <w:szCs w:val="20"/>
        </w:rPr>
        <w:t xml:space="preserve">  за адресою: </w:t>
      </w:r>
      <w:r w:rsidRPr="003D2D0C">
        <w:rPr>
          <w:b/>
          <w:sz w:val="20"/>
          <w:szCs w:val="20"/>
        </w:rPr>
        <w:t xml:space="preserve">м. Київ, вул. Пухівська, 3  адмінкорпус, другий поверх, актовий зал. </w:t>
      </w:r>
      <w:r w:rsidRPr="003D2D0C">
        <w:rPr>
          <w:sz w:val="20"/>
          <w:szCs w:val="20"/>
        </w:rPr>
        <w:t>Початок  роботи об 11.00, реєстрація акціонерів  та їх представників</w:t>
      </w:r>
      <w:r w:rsidR="0002228C">
        <w:rPr>
          <w:sz w:val="20"/>
          <w:szCs w:val="20"/>
          <w:lang w:val="ru-RU"/>
        </w:rPr>
        <w:t xml:space="preserve">проводиться </w:t>
      </w:r>
      <w:r w:rsidRPr="003D2D0C">
        <w:rPr>
          <w:sz w:val="20"/>
          <w:szCs w:val="20"/>
        </w:rPr>
        <w:t xml:space="preserve"> з 9.00 до  10.30 в день за місцем проведення зборів.</w:t>
      </w:r>
    </w:p>
    <w:p w:rsidR="00210924" w:rsidRPr="003D2D0C" w:rsidRDefault="00210924" w:rsidP="00210924">
      <w:pPr>
        <w:jc w:val="center"/>
        <w:rPr>
          <w:b/>
          <w:sz w:val="20"/>
          <w:szCs w:val="20"/>
        </w:rPr>
      </w:pPr>
      <w:r w:rsidRPr="003D2D0C">
        <w:rPr>
          <w:b/>
          <w:sz w:val="20"/>
          <w:szCs w:val="20"/>
        </w:rPr>
        <w:t>Порядок денний:</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Обрання лічильної комісії загальних зборів та встановлення строку її повноваження.</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Затвердження регламенту загальних зборів.</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Звіт Виконавчого органу – Генерального директора  за результатами роботи в 2015 році та прийняття рішення за наслідками його розгляду.</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Звіт  Наглядової ради за результатами роботи в 2015 році та прийняття рішення за наслідками його розгляду.</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Затвердження звіту про результат  фінансово-господарської діяльності дочірніх підприємств Товариства за 2015 рік.</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Затвердження річного консолідованого (включно з дочірніми підприємствами) звіту про результати фінансово-господарської діяльності Товариства за 2015 рік.</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Розподіл чистого/нерозподіленого прибутку дочірніх підприємств Товариства на кінець 2015 рік на  виплату дивідендів на корпоративні права Товариства.</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 xml:space="preserve"> Встановлення нормативів чистого прибутку </w:t>
      </w:r>
      <w:proofErr w:type="spellStart"/>
      <w:r w:rsidRPr="0032383B">
        <w:rPr>
          <w:sz w:val="20"/>
          <w:szCs w:val="20"/>
        </w:rPr>
        <w:t>ДП</w:t>
      </w:r>
      <w:proofErr w:type="spellEnd"/>
      <w:r w:rsidRPr="0032383B">
        <w:rPr>
          <w:sz w:val="20"/>
          <w:szCs w:val="20"/>
        </w:rPr>
        <w:t xml:space="preserve"> на кінець 2016 року.</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Розподіл прибутку Товариства за 2015 рік.</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 xml:space="preserve">Затвердження розміру дивідендів за 2015 рік. Встановлення мінімального розміру чистого  прибутку Товариства на кінець  2016 року.  </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Встановлення строку та способу виплати дивідендів за 2015 р.</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Затвердження основних напрямків розвитку Товариства та його дочірніх підприємств  на 2016 рік.</w:t>
      </w:r>
    </w:p>
    <w:p w:rsidR="0032383B" w:rsidRPr="0032383B" w:rsidRDefault="0032383B" w:rsidP="0032383B">
      <w:pPr>
        <w:pStyle w:val="a5"/>
        <w:numPr>
          <w:ilvl w:val="0"/>
          <w:numId w:val="3"/>
        </w:numPr>
        <w:tabs>
          <w:tab w:val="left" w:pos="1701"/>
        </w:tabs>
        <w:spacing w:after="0" w:line="240" w:lineRule="auto"/>
        <w:ind w:left="1080"/>
        <w:jc w:val="both"/>
        <w:rPr>
          <w:sz w:val="20"/>
          <w:szCs w:val="20"/>
        </w:rPr>
      </w:pPr>
      <w:r w:rsidRPr="0032383B">
        <w:rPr>
          <w:sz w:val="20"/>
          <w:szCs w:val="20"/>
        </w:rPr>
        <w:t>Затвердження фактичного обсягу витрат за 2015 рік для забезпечення проведення загальних зборів Товариства, роботи  Наглядової ради та затвердження кошторису витрат на забезпечення проведення загальних зборів Товариства та  роботи Наглядової ради на 2016 рік.</w:t>
      </w:r>
    </w:p>
    <w:p w:rsidR="0032383B" w:rsidRPr="0032383B" w:rsidRDefault="0032383B" w:rsidP="0032383B">
      <w:pPr>
        <w:pStyle w:val="a5"/>
        <w:numPr>
          <w:ilvl w:val="0"/>
          <w:numId w:val="3"/>
        </w:numPr>
        <w:spacing w:after="0" w:line="240" w:lineRule="auto"/>
        <w:ind w:left="1080"/>
        <w:jc w:val="both"/>
        <w:rPr>
          <w:sz w:val="20"/>
          <w:szCs w:val="20"/>
        </w:rPr>
      </w:pPr>
      <w:r w:rsidRPr="0032383B">
        <w:rPr>
          <w:sz w:val="20"/>
          <w:szCs w:val="20"/>
        </w:rPr>
        <w:t xml:space="preserve">Попереднє схвалення значних правочинів, які можуть вчинятись Товариством або його дочірніми підприємствами, протягом одного року з дати прийняття рішення, якщо ринкова вартість майна або послуг, що є  предметом  таких правочинів, перевищує 25%  вартості активів Товариства або його </w:t>
      </w:r>
      <w:proofErr w:type="spellStart"/>
      <w:r w:rsidRPr="0032383B">
        <w:rPr>
          <w:sz w:val="20"/>
          <w:szCs w:val="20"/>
        </w:rPr>
        <w:t>ДП</w:t>
      </w:r>
      <w:proofErr w:type="spellEnd"/>
      <w:r w:rsidRPr="0032383B">
        <w:rPr>
          <w:sz w:val="20"/>
          <w:szCs w:val="20"/>
        </w:rPr>
        <w:t xml:space="preserve">  за даними останньої річної фінансової звітності </w:t>
      </w:r>
    </w:p>
    <w:p w:rsidR="00702E72" w:rsidRPr="009B34FA" w:rsidRDefault="00702E72" w:rsidP="00702E72">
      <w:pPr>
        <w:pStyle w:val="a5"/>
        <w:spacing w:after="0" w:line="240" w:lineRule="auto"/>
        <w:ind w:left="1080"/>
        <w:jc w:val="both"/>
        <w:rPr>
          <w:sz w:val="20"/>
          <w:szCs w:val="20"/>
        </w:rPr>
      </w:pPr>
      <w:r w:rsidRPr="009B34FA">
        <w:rPr>
          <w:sz w:val="20"/>
          <w:szCs w:val="20"/>
        </w:rPr>
        <w:t xml:space="preserve"> </w:t>
      </w:r>
    </w:p>
    <w:p w:rsidR="003D2D0C" w:rsidRPr="003D2D0C" w:rsidRDefault="003D2D0C" w:rsidP="00702E72">
      <w:pPr>
        <w:spacing w:after="0"/>
        <w:ind w:firstLine="708"/>
        <w:jc w:val="both"/>
        <w:rPr>
          <w:rFonts w:cs="Times New Roman"/>
          <w:sz w:val="20"/>
          <w:szCs w:val="20"/>
        </w:rPr>
      </w:pPr>
      <w:r w:rsidRPr="003D2D0C">
        <w:rPr>
          <w:rFonts w:cs="Times New Roman"/>
          <w:sz w:val="20"/>
          <w:szCs w:val="20"/>
        </w:rPr>
        <w:t xml:space="preserve">Дата складання  переліку акціонерів, які мають право  на участь у загальних зборах – </w:t>
      </w:r>
      <w:r w:rsidR="00203024" w:rsidRPr="00197FED">
        <w:rPr>
          <w:rFonts w:cs="Times New Roman"/>
          <w:sz w:val="20"/>
          <w:szCs w:val="20"/>
          <w:shd w:val="clear" w:color="auto" w:fill="FFFFFF" w:themeFill="background1"/>
        </w:rPr>
        <w:t>15 квітня 2016</w:t>
      </w:r>
      <w:r w:rsidRPr="003D2D0C">
        <w:rPr>
          <w:rFonts w:cs="Times New Roman"/>
          <w:sz w:val="20"/>
          <w:szCs w:val="20"/>
        </w:rPr>
        <w:t xml:space="preserve"> року.</w:t>
      </w:r>
    </w:p>
    <w:p w:rsidR="003D2D0C" w:rsidRPr="003D2D0C" w:rsidRDefault="003D2D0C" w:rsidP="003D2D0C">
      <w:pPr>
        <w:pStyle w:val="a5"/>
        <w:ind w:left="0" w:firstLine="720"/>
        <w:jc w:val="both"/>
        <w:rPr>
          <w:sz w:val="20"/>
          <w:szCs w:val="20"/>
        </w:rPr>
      </w:pPr>
      <w:r w:rsidRPr="003D2D0C">
        <w:rPr>
          <w:sz w:val="20"/>
          <w:szCs w:val="20"/>
        </w:rPr>
        <w:t xml:space="preserve">Акціонери або їх уповноважені представники можуть ознайомитися з документами, необхідними для прийняття рішень з питань порядку денного з </w:t>
      </w:r>
      <w:r w:rsidR="00197FED">
        <w:rPr>
          <w:sz w:val="20"/>
          <w:szCs w:val="20"/>
        </w:rPr>
        <w:t>21</w:t>
      </w:r>
      <w:r w:rsidRPr="003D2D0C">
        <w:rPr>
          <w:sz w:val="20"/>
          <w:szCs w:val="20"/>
        </w:rPr>
        <w:t xml:space="preserve"> березня 201</w:t>
      </w:r>
      <w:r w:rsidR="00197FED">
        <w:rPr>
          <w:sz w:val="20"/>
          <w:szCs w:val="20"/>
        </w:rPr>
        <w:t>6</w:t>
      </w:r>
      <w:r w:rsidRPr="003D2D0C">
        <w:rPr>
          <w:sz w:val="20"/>
          <w:szCs w:val="20"/>
        </w:rPr>
        <w:t xml:space="preserve"> року (понеділок-четвер, з 9-00 до 12-00</w:t>
      </w:r>
      <w:r w:rsidR="00E8662A">
        <w:rPr>
          <w:sz w:val="20"/>
          <w:szCs w:val="20"/>
        </w:rPr>
        <w:t xml:space="preserve"> та  з 13-00 до 15-00</w:t>
      </w:r>
      <w:r w:rsidRPr="003D2D0C">
        <w:rPr>
          <w:sz w:val="20"/>
          <w:szCs w:val="20"/>
        </w:rPr>
        <w:t>) в приміщенні Товариства за адресою: м. Київ, вул. Л. Толстого, 55-А  та в день проведення зборів за вказаною в повідомлені про скликання зборів адресою.</w:t>
      </w:r>
    </w:p>
    <w:p w:rsidR="001B2787" w:rsidRPr="003D2D0C" w:rsidRDefault="00934C2A" w:rsidP="001B2787">
      <w:pPr>
        <w:pStyle w:val="a5"/>
        <w:ind w:left="0" w:firstLine="720"/>
        <w:jc w:val="both"/>
        <w:rPr>
          <w:sz w:val="20"/>
          <w:szCs w:val="20"/>
        </w:rPr>
      </w:pPr>
      <w:r>
        <w:rPr>
          <w:sz w:val="20"/>
          <w:szCs w:val="20"/>
        </w:rPr>
        <w:t>Відповідні за ознайомлення:</w:t>
      </w:r>
    </w:p>
    <w:p w:rsidR="001B2787" w:rsidRPr="003D2D0C" w:rsidRDefault="001B2787" w:rsidP="001B2787">
      <w:pPr>
        <w:pStyle w:val="a5"/>
        <w:numPr>
          <w:ilvl w:val="0"/>
          <w:numId w:val="2"/>
        </w:numPr>
        <w:jc w:val="both"/>
        <w:rPr>
          <w:sz w:val="20"/>
          <w:szCs w:val="20"/>
        </w:rPr>
      </w:pPr>
      <w:r w:rsidRPr="003D2D0C">
        <w:rPr>
          <w:sz w:val="20"/>
          <w:szCs w:val="20"/>
        </w:rPr>
        <w:t>корпоративний секретар Наумова Н.В., кім. № 13 – усі документи, крім документів фінансової звітності Товариства та його дочірніх підприємств;</w:t>
      </w:r>
    </w:p>
    <w:p w:rsidR="001B2787" w:rsidRPr="003D2D0C" w:rsidRDefault="001B2787" w:rsidP="001B2787">
      <w:pPr>
        <w:pStyle w:val="a5"/>
        <w:numPr>
          <w:ilvl w:val="0"/>
          <w:numId w:val="2"/>
        </w:numPr>
        <w:spacing w:after="0"/>
        <w:jc w:val="both"/>
        <w:rPr>
          <w:sz w:val="20"/>
          <w:szCs w:val="20"/>
        </w:rPr>
      </w:pPr>
      <w:r w:rsidRPr="003D2D0C">
        <w:rPr>
          <w:sz w:val="20"/>
          <w:szCs w:val="20"/>
        </w:rPr>
        <w:t>головний бухгалтер Маслак Т.А., кім. № 5 – документи фінансової звітності Товариства та його дочірніх підприємств.</w:t>
      </w:r>
    </w:p>
    <w:p w:rsidR="001B2787" w:rsidRPr="003D2D0C" w:rsidRDefault="001B2787" w:rsidP="001B2787">
      <w:pPr>
        <w:spacing w:after="0"/>
        <w:ind w:firstLine="709"/>
        <w:jc w:val="both"/>
        <w:rPr>
          <w:sz w:val="20"/>
          <w:szCs w:val="20"/>
        </w:rPr>
      </w:pPr>
      <w:r w:rsidRPr="003D2D0C">
        <w:rPr>
          <w:sz w:val="20"/>
          <w:szCs w:val="20"/>
        </w:rPr>
        <w:t xml:space="preserve">Пропозиції акціонерів або їх уповноважених представників  щодо питань, внесених до </w:t>
      </w:r>
      <w:r w:rsidR="00250F1C">
        <w:rPr>
          <w:sz w:val="20"/>
          <w:szCs w:val="20"/>
        </w:rPr>
        <w:t xml:space="preserve">проекту </w:t>
      </w:r>
      <w:r w:rsidRPr="003D2D0C">
        <w:rPr>
          <w:sz w:val="20"/>
          <w:szCs w:val="20"/>
        </w:rPr>
        <w:t xml:space="preserve">порядку денного  зборів подаються у 2 примірниках безпосередньо до організаційної комісії з підготовки та проведення зборів, яка працює за адресою </w:t>
      </w:r>
      <w:r w:rsidR="002748CB" w:rsidRPr="003D2D0C">
        <w:rPr>
          <w:sz w:val="20"/>
          <w:szCs w:val="20"/>
        </w:rPr>
        <w:t>Т</w:t>
      </w:r>
      <w:r w:rsidRPr="003D2D0C">
        <w:rPr>
          <w:sz w:val="20"/>
          <w:szCs w:val="20"/>
        </w:rPr>
        <w:t xml:space="preserve">овариства, або надсилаються поштою на адресу Товариства.  </w:t>
      </w:r>
    </w:p>
    <w:p w:rsidR="001B2787" w:rsidRPr="003D2D0C" w:rsidRDefault="001B2787" w:rsidP="001B2787">
      <w:pPr>
        <w:spacing w:after="0"/>
        <w:ind w:firstLine="709"/>
        <w:jc w:val="both"/>
        <w:rPr>
          <w:sz w:val="20"/>
          <w:szCs w:val="20"/>
        </w:rPr>
      </w:pPr>
      <w:r w:rsidRPr="003D2D0C">
        <w:rPr>
          <w:sz w:val="20"/>
          <w:szCs w:val="20"/>
        </w:rPr>
        <w:t xml:space="preserve">Пропозиції вважаються прийнятими, якщо вони відповідають вимогам, встановленим законом та Статутом Товариства та подані або отримані поштою у строк до </w:t>
      </w:r>
      <w:r w:rsidR="0055731F" w:rsidRPr="0055731F">
        <w:rPr>
          <w:sz w:val="20"/>
          <w:szCs w:val="20"/>
        </w:rPr>
        <w:t>31</w:t>
      </w:r>
      <w:r w:rsidRPr="0055731F">
        <w:rPr>
          <w:sz w:val="20"/>
          <w:szCs w:val="20"/>
        </w:rPr>
        <w:t xml:space="preserve"> березня 201</w:t>
      </w:r>
      <w:r w:rsidR="0055731F" w:rsidRPr="0055731F">
        <w:rPr>
          <w:sz w:val="20"/>
          <w:szCs w:val="20"/>
        </w:rPr>
        <w:t>6</w:t>
      </w:r>
      <w:r w:rsidRPr="0055731F">
        <w:rPr>
          <w:sz w:val="20"/>
          <w:szCs w:val="20"/>
        </w:rPr>
        <w:t xml:space="preserve"> року</w:t>
      </w:r>
      <w:r w:rsidR="00250F1C">
        <w:rPr>
          <w:sz w:val="20"/>
          <w:szCs w:val="20"/>
        </w:rPr>
        <w:t xml:space="preserve"> включно.</w:t>
      </w:r>
    </w:p>
    <w:p w:rsidR="00643C96" w:rsidRPr="00250F1C" w:rsidRDefault="00F531E5" w:rsidP="00F531E5">
      <w:pPr>
        <w:spacing w:after="0" w:line="240" w:lineRule="auto"/>
        <w:ind w:firstLine="708"/>
        <w:jc w:val="both"/>
        <w:rPr>
          <w:b/>
          <w:sz w:val="20"/>
          <w:szCs w:val="20"/>
          <w:u w:val="single"/>
          <w:lang w:eastAsia="ru-RU"/>
        </w:rPr>
      </w:pPr>
      <w:r w:rsidRPr="00250F1C">
        <w:rPr>
          <w:rFonts w:eastAsia="Times New Roman" w:cs="Times New Roman"/>
          <w:sz w:val="20"/>
          <w:szCs w:val="20"/>
          <w:lang w:eastAsia="ru-RU"/>
        </w:rPr>
        <w:t xml:space="preserve">Для </w:t>
      </w:r>
      <w:r w:rsidR="00227220">
        <w:rPr>
          <w:rFonts w:eastAsia="Times New Roman" w:cs="Times New Roman"/>
          <w:sz w:val="20"/>
          <w:szCs w:val="20"/>
          <w:lang w:eastAsia="ru-RU"/>
        </w:rPr>
        <w:t xml:space="preserve">ознайомлення з документами та  </w:t>
      </w:r>
      <w:r w:rsidRPr="00250F1C">
        <w:rPr>
          <w:rFonts w:eastAsia="Times New Roman" w:cs="Times New Roman"/>
          <w:sz w:val="20"/>
          <w:szCs w:val="20"/>
          <w:lang w:eastAsia="ru-RU"/>
        </w:rPr>
        <w:t>участі у зборах необхідно мати при собі: документ, що посвідчує особу акціонера (представника акціонера); належним чином оформлене доручення щодо повноважень представників акціонерів</w:t>
      </w:r>
    </w:p>
    <w:p w:rsidR="00104EF6" w:rsidRDefault="00104EF6" w:rsidP="00417ABE">
      <w:pPr>
        <w:spacing w:after="0" w:line="240" w:lineRule="auto"/>
        <w:jc w:val="center"/>
        <w:rPr>
          <w:sz w:val="20"/>
          <w:szCs w:val="20"/>
          <w:lang w:eastAsia="ru-RU"/>
        </w:rPr>
      </w:pPr>
    </w:p>
    <w:p w:rsidR="00417ABE" w:rsidRPr="003D2D0C" w:rsidRDefault="008F2285" w:rsidP="00417ABE">
      <w:pPr>
        <w:spacing w:after="0" w:line="240" w:lineRule="auto"/>
        <w:jc w:val="center"/>
        <w:rPr>
          <w:b/>
          <w:sz w:val="20"/>
          <w:szCs w:val="20"/>
          <w:u w:val="single"/>
          <w:lang w:eastAsia="ru-RU"/>
        </w:rPr>
      </w:pPr>
      <w:r w:rsidRPr="003D2D0C">
        <w:rPr>
          <w:sz w:val="20"/>
          <w:szCs w:val="20"/>
          <w:lang w:eastAsia="ru-RU"/>
        </w:rPr>
        <w:tab/>
      </w:r>
      <w:r w:rsidR="00417ABE" w:rsidRPr="003D2D0C">
        <w:rPr>
          <w:b/>
          <w:sz w:val="20"/>
          <w:szCs w:val="20"/>
          <w:u w:val="single"/>
          <w:lang w:eastAsia="ru-RU"/>
        </w:rPr>
        <w:t>До уваги акціонерів !</w:t>
      </w:r>
    </w:p>
    <w:p w:rsidR="00417ABE" w:rsidRPr="003D2D0C" w:rsidRDefault="00417ABE" w:rsidP="00417ABE">
      <w:pPr>
        <w:spacing w:after="0" w:line="240" w:lineRule="auto"/>
        <w:jc w:val="center"/>
        <w:rPr>
          <w:b/>
          <w:sz w:val="20"/>
          <w:szCs w:val="20"/>
          <w:u w:val="single"/>
          <w:lang w:eastAsia="ru-RU"/>
        </w:rPr>
      </w:pPr>
    </w:p>
    <w:p w:rsidR="00F76B17" w:rsidRPr="0055731F" w:rsidRDefault="00417ABE" w:rsidP="0055731F">
      <w:pPr>
        <w:spacing w:after="0" w:line="240" w:lineRule="auto"/>
        <w:jc w:val="both"/>
        <w:rPr>
          <w:sz w:val="20"/>
          <w:szCs w:val="20"/>
        </w:rPr>
      </w:pPr>
      <w:r w:rsidRPr="003D2D0C">
        <w:rPr>
          <w:sz w:val="20"/>
          <w:szCs w:val="20"/>
          <w:lang w:eastAsia="ru-RU"/>
        </w:rPr>
        <w:tab/>
      </w:r>
      <w:r w:rsidR="00104EF6">
        <w:rPr>
          <w:sz w:val="20"/>
          <w:szCs w:val="20"/>
          <w:lang w:eastAsia="ru-RU"/>
        </w:rPr>
        <w:t xml:space="preserve">У разі прийняття Загальними зборами Товариства рішення про виплату дивіденді Наглядовою радю буде затверджено  строки  та порядок виплати дивідендів. Відповідна інформація буде розміщена на веб-сайті Товариства </w:t>
      </w:r>
      <w:r w:rsidR="0055731F" w:rsidRPr="0055731F">
        <w:rPr>
          <w:sz w:val="20"/>
          <w:szCs w:val="20"/>
          <w:lang w:val="ru-RU" w:eastAsia="ru-RU"/>
        </w:rPr>
        <w:t xml:space="preserve"> </w:t>
      </w:r>
      <w:hyperlink r:id="rId6" w:history="1">
        <w:r w:rsidR="0055731F" w:rsidRPr="0055731F">
          <w:rPr>
            <w:rStyle w:val="a6"/>
            <w:b/>
            <w:sz w:val="20"/>
            <w:szCs w:val="20"/>
            <w:lang w:val="ru-RU" w:eastAsia="ru-RU"/>
          </w:rPr>
          <w:t>http://kievselelektro.pat.ua</w:t>
        </w:r>
      </w:hyperlink>
      <w:r w:rsidR="0055731F" w:rsidRPr="0055731F">
        <w:rPr>
          <w:sz w:val="20"/>
          <w:szCs w:val="20"/>
          <w:lang w:val="ru-RU" w:eastAsia="ru-RU"/>
        </w:rPr>
        <w:t xml:space="preserve">     </w:t>
      </w:r>
      <w:r w:rsidR="00104EF6">
        <w:rPr>
          <w:sz w:val="20"/>
          <w:szCs w:val="20"/>
          <w:lang w:eastAsia="ru-RU"/>
        </w:rPr>
        <w:t xml:space="preserve">не пізніше </w:t>
      </w:r>
      <w:r w:rsidR="0055731F" w:rsidRPr="0055731F">
        <w:rPr>
          <w:sz w:val="20"/>
          <w:szCs w:val="20"/>
          <w:lang w:val="ru-RU" w:eastAsia="ru-RU"/>
        </w:rPr>
        <w:t xml:space="preserve">30 </w:t>
      </w:r>
      <w:r w:rsidR="0055731F">
        <w:rPr>
          <w:sz w:val="20"/>
          <w:szCs w:val="20"/>
          <w:lang w:eastAsia="ru-RU"/>
        </w:rPr>
        <w:t>квітня 2016 р.</w:t>
      </w:r>
    </w:p>
    <w:p w:rsidR="00943730" w:rsidRPr="003D2D0C" w:rsidRDefault="00943730" w:rsidP="00943730">
      <w:pPr>
        <w:pStyle w:val="a5"/>
        <w:spacing w:after="0"/>
        <w:jc w:val="both"/>
        <w:rPr>
          <w:sz w:val="20"/>
          <w:szCs w:val="20"/>
        </w:rPr>
      </w:pPr>
      <w:r w:rsidRPr="003D2D0C">
        <w:rPr>
          <w:sz w:val="20"/>
          <w:szCs w:val="20"/>
        </w:rPr>
        <w:t xml:space="preserve">Телефон для довідок: (044) </w:t>
      </w:r>
      <w:r w:rsidR="00417ABE" w:rsidRPr="003D2D0C">
        <w:rPr>
          <w:sz w:val="20"/>
          <w:szCs w:val="20"/>
        </w:rPr>
        <w:t xml:space="preserve"> </w:t>
      </w:r>
      <w:r w:rsidRPr="003D2D0C">
        <w:rPr>
          <w:sz w:val="20"/>
          <w:szCs w:val="20"/>
        </w:rPr>
        <w:t>2843400</w:t>
      </w:r>
    </w:p>
    <w:p w:rsidR="00886397" w:rsidRPr="003D2D0C" w:rsidRDefault="00943730" w:rsidP="00943730">
      <w:pPr>
        <w:pStyle w:val="a5"/>
        <w:jc w:val="both"/>
        <w:rPr>
          <w:sz w:val="20"/>
          <w:szCs w:val="20"/>
        </w:rPr>
      </w:pPr>
      <w:r w:rsidRPr="003D2D0C">
        <w:rPr>
          <w:sz w:val="20"/>
          <w:szCs w:val="20"/>
        </w:rPr>
        <w:t>Наглядова рада Товариства</w:t>
      </w:r>
    </w:p>
    <w:sectPr w:rsidR="00886397" w:rsidRPr="003D2D0C" w:rsidSect="00A94A47">
      <w:pgSz w:w="11906" w:h="16838"/>
      <w:pgMar w:top="510" w:right="851"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6650B"/>
    <w:multiLevelType w:val="multilevel"/>
    <w:tmpl w:val="5922F1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1377B6C"/>
    <w:multiLevelType w:val="hybridMultilevel"/>
    <w:tmpl w:val="12686944"/>
    <w:lvl w:ilvl="0" w:tplc="3C2AAA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F9C0B01"/>
    <w:multiLevelType w:val="hybridMultilevel"/>
    <w:tmpl w:val="8D021428"/>
    <w:lvl w:ilvl="0" w:tplc="443AB8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CD6"/>
    <w:rsid w:val="00013EF7"/>
    <w:rsid w:val="0002228C"/>
    <w:rsid w:val="00052297"/>
    <w:rsid w:val="00070228"/>
    <w:rsid w:val="0007794D"/>
    <w:rsid w:val="00095E88"/>
    <w:rsid w:val="000D6517"/>
    <w:rsid w:val="00104EF6"/>
    <w:rsid w:val="0017394A"/>
    <w:rsid w:val="00180573"/>
    <w:rsid w:val="00197FED"/>
    <w:rsid w:val="001B2787"/>
    <w:rsid w:val="001D75B5"/>
    <w:rsid w:val="001E0479"/>
    <w:rsid w:val="00201972"/>
    <w:rsid w:val="00203024"/>
    <w:rsid w:val="00210924"/>
    <w:rsid w:val="00227220"/>
    <w:rsid w:val="002373B1"/>
    <w:rsid w:val="00250F1C"/>
    <w:rsid w:val="00256253"/>
    <w:rsid w:val="002576C9"/>
    <w:rsid w:val="002748CB"/>
    <w:rsid w:val="002A0D28"/>
    <w:rsid w:val="002C322D"/>
    <w:rsid w:val="0032383B"/>
    <w:rsid w:val="003367DF"/>
    <w:rsid w:val="00370CD6"/>
    <w:rsid w:val="003D2D0C"/>
    <w:rsid w:val="003D3AA0"/>
    <w:rsid w:val="00417ABE"/>
    <w:rsid w:val="00454E1F"/>
    <w:rsid w:val="004721E7"/>
    <w:rsid w:val="00503E5D"/>
    <w:rsid w:val="0055731F"/>
    <w:rsid w:val="0056241C"/>
    <w:rsid w:val="00577CB5"/>
    <w:rsid w:val="00581680"/>
    <w:rsid w:val="005846BF"/>
    <w:rsid w:val="005C26C4"/>
    <w:rsid w:val="00630B83"/>
    <w:rsid w:val="00643C96"/>
    <w:rsid w:val="006809AA"/>
    <w:rsid w:val="00685A68"/>
    <w:rsid w:val="006B759C"/>
    <w:rsid w:val="00702E72"/>
    <w:rsid w:val="007532F7"/>
    <w:rsid w:val="0075770B"/>
    <w:rsid w:val="00786341"/>
    <w:rsid w:val="0078732E"/>
    <w:rsid w:val="007A130B"/>
    <w:rsid w:val="007B3C50"/>
    <w:rsid w:val="007C77C6"/>
    <w:rsid w:val="007E42F1"/>
    <w:rsid w:val="007F2874"/>
    <w:rsid w:val="00831691"/>
    <w:rsid w:val="008576F7"/>
    <w:rsid w:val="00864E58"/>
    <w:rsid w:val="00874B44"/>
    <w:rsid w:val="00886397"/>
    <w:rsid w:val="008B6C6F"/>
    <w:rsid w:val="008D418F"/>
    <w:rsid w:val="008F2285"/>
    <w:rsid w:val="00921DCD"/>
    <w:rsid w:val="00923B01"/>
    <w:rsid w:val="00932737"/>
    <w:rsid w:val="0093367B"/>
    <w:rsid w:val="00934C2A"/>
    <w:rsid w:val="00943730"/>
    <w:rsid w:val="00963454"/>
    <w:rsid w:val="009A3FD6"/>
    <w:rsid w:val="009A72EC"/>
    <w:rsid w:val="009B6F05"/>
    <w:rsid w:val="009C770D"/>
    <w:rsid w:val="009E3F43"/>
    <w:rsid w:val="009F6B45"/>
    <w:rsid w:val="00A00CC9"/>
    <w:rsid w:val="00A030CE"/>
    <w:rsid w:val="00A144E1"/>
    <w:rsid w:val="00A166D2"/>
    <w:rsid w:val="00A35A8B"/>
    <w:rsid w:val="00A94A47"/>
    <w:rsid w:val="00AE630A"/>
    <w:rsid w:val="00AF1953"/>
    <w:rsid w:val="00B05630"/>
    <w:rsid w:val="00B41ADA"/>
    <w:rsid w:val="00B451CD"/>
    <w:rsid w:val="00B65ECA"/>
    <w:rsid w:val="00B752DC"/>
    <w:rsid w:val="00B7690D"/>
    <w:rsid w:val="00BA7DF7"/>
    <w:rsid w:val="00BF54F2"/>
    <w:rsid w:val="00C05447"/>
    <w:rsid w:val="00C3658C"/>
    <w:rsid w:val="00C4625A"/>
    <w:rsid w:val="00C90413"/>
    <w:rsid w:val="00C93321"/>
    <w:rsid w:val="00CA2C0B"/>
    <w:rsid w:val="00CB31FF"/>
    <w:rsid w:val="00CB7A90"/>
    <w:rsid w:val="00CC4553"/>
    <w:rsid w:val="00CE4E00"/>
    <w:rsid w:val="00D83493"/>
    <w:rsid w:val="00E0706D"/>
    <w:rsid w:val="00E2425E"/>
    <w:rsid w:val="00E57A75"/>
    <w:rsid w:val="00E73C49"/>
    <w:rsid w:val="00E84C04"/>
    <w:rsid w:val="00E8662A"/>
    <w:rsid w:val="00EE0FE6"/>
    <w:rsid w:val="00EE5511"/>
    <w:rsid w:val="00EF367D"/>
    <w:rsid w:val="00EF6F41"/>
    <w:rsid w:val="00F27127"/>
    <w:rsid w:val="00F37328"/>
    <w:rsid w:val="00F424B9"/>
    <w:rsid w:val="00F531E5"/>
    <w:rsid w:val="00F76B17"/>
    <w:rsid w:val="00FB0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B5"/>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CD6"/>
    <w:rPr>
      <w:rFonts w:ascii="Tahoma" w:hAnsi="Tahoma" w:cs="Tahoma"/>
      <w:sz w:val="16"/>
      <w:szCs w:val="16"/>
      <w:lang w:val="uk-UA"/>
    </w:rPr>
  </w:style>
  <w:style w:type="paragraph" w:styleId="a5">
    <w:name w:val="List Paragraph"/>
    <w:basedOn w:val="a"/>
    <w:uiPriority w:val="34"/>
    <w:qFormat/>
    <w:rsid w:val="00210924"/>
    <w:pPr>
      <w:ind w:left="720"/>
      <w:contextualSpacing/>
    </w:pPr>
    <w:rPr>
      <w:rFonts w:cs="Times New Roman"/>
      <w:noProof w:val="0"/>
      <w:szCs w:val="24"/>
    </w:rPr>
  </w:style>
  <w:style w:type="character" w:styleId="a6">
    <w:name w:val="Hyperlink"/>
    <w:basedOn w:val="a0"/>
    <w:uiPriority w:val="99"/>
    <w:unhideWhenUsed/>
    <w:rsid w:val="005573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ievselelektro.pat.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AE10C-EE65-4F4C-977B-943B4EDA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NNV</cp:lastModifiedBy>
  <cp:revision>2</cp:revision>
  <cp:lastPrinted>2016-03-16T12:36:00Z</cp:lastPrinted>
  <dcterms:created xsi:type="dcterms:W3CDTF">2016-03-17T06:41:00Z</dcterms:created>
  <dcterms:modified xsi:type="dcterms:W3CDTF">2016-03-17T06:41:00Z</dcterms:modified>
</cp:coreProperties>
</file>