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0A" w:rsidRPr="00680755" w:rsidRDefault="00AE370A" w:rsidP="00AE370A">
      <w:pPr>
        <w:spacing w:after="0"/>
        <w:jc w:val="center"/>
        <w:rPr>
          <w:b/>
          <w:sz w:val="20"/>
          <w:szCs w:val="20"/>
        </w:rPr>
      </w:pPr>
      <w:r w:rsidRPr="00680755">
        <w:rPr>
          <w:b/>
          <w:sz w:val="20"/>
          <w:szCs w:val="20"/>
        </w:rPr>
        <w:t xml:space="preserve">ДО УВАГИ АКЦІОНЕРІВ </w:t>
      </w:r>
    </w:p>
    <w:p w:rsidR="00AE370A" w:rsidRPr="00680755" w:rsidRDefault="00AE370A" w:rsidP="00AE370A">
      <w:pPr>
        <w:spacing w:after="0"/>
        <w:jc w:val="center"/>
        <w:rPr>
          <w:b/>
          <w:sz w:val="20"/>
          <w:szCs w:val="20"/>
        </w:rPr>
      </w:pPr>
      <w:r w:rsidRPr="00680755">
        <w:rPr>
          <w:b/>
          <w:sz w:val="20"/>
          <w:szCs w:val="20"/>
        </w:rPr>
        <w:t>Публічного акціонерного товариства</w:t>
      </w:r>
    </w:p>
    <w:p w:rsidR="00AE370A" w:rsidRPr="00680755" w:rsidRDefault="00AE370A" w:rsidP="00AE370A">
      <w:pPr>
        <w:spacing w:after="0"/>
        <w:jc w:val="center"/>
        <w:rPr>
          <w:b/>
          <w:sz w:val="20"/>
          <w:szCs w:val="20"/>
        </w:rPr>
      </w:pPr>
      <w:r w:rsidRPr="00680755">
        <w:rPr>
          <w:b/>
          <w:sz w:val="20"/>
          <w:szCs w:val="20"/>
        </w:rPr>
        <w:t xml:space="preserve"> «</w:t>
      </w:r>
      <w:r w:rsidR="00DA2A43" w:rsidRPr="00680755">
        <w:rPr>
          <w:b/>
          <w:sz w:val="20"/>
          <w:szCs w:val="20"/>
        </w:rPr>
        <w:t>КИЇВСІЛЬЕЛЕКТРО</w:t>
      </w:r>
      <w:r w:rsidRPr="00680755">
        <w:rPr>
          <w:b/>
          <w:sz w:val="20"/>
          <w:szCs w:val="20"/>
        </w:rPr>
        <w:t xml:space="preserve">» </w:t>
      </w:r>
    </w:p>
    <w:p w:rsidR="00AE370A" w:rsidRPr="00680755" w:rsidRDefault="00AE370A" w:rsidP="00AE370A">
      <w:pPr>
        <w:spacing w:after="0"/>
        <w:jc w:val="center"/>
        <w:rPr>
          <w:b/>
          <w:sz w:val="20"/>
          <w:szCs w:val="20"/>
        </w:rPr>
      </w:pPr>
      <w:r w:rsidRPr="00680755">
        <w:rPr>
          <w:b/>
          <w:sz w:val="20"/>
          <w:szCs w:val="20"/>
        </w:rPr>
        <w:t>(м. Київ, вул. Л. Толстого, 55 А)</w:t>
      </w:r>
    </w:p>
    <w:p w:rsidR="00AE370A" w:rsidRPr="00680755" w:rsidRDefault="00AE370A" w:rsidP="00AE370A">
      <w:pPr>
        <w:jc w:val="center"/>
        <w:rPr>
          <w:sz w:val="20"/>
          <w:szCs w:val="20"/>
        </w:rPr>
      </w:pPr>
      <w:r w:rsidRPr="00680755">
        <w:rPr>
          <w:sz w:val="20"/>
          <w:szCs w:val="20"/>
        </w:rPr>
        <w:t xml:space="preserve">Чергові загальні збори Товариства відбудуться </w:t>
      </w:r>
      <w:r w:rsidR="002D3905" w:rsidRPr="00680755">
        <w:rPr>
          <w:sz w:val="20"/>
          <w:szCs w:val="20"/>
        </w:rPr>
        <w:t>16 квітня 2015</w:t>
      </w:r>
      <w:r w:rsidRPr="00680755">
        <w:rPr>
          <w:sz w:val="20"/>
          <w:szCs w:val="20"/>
        </w:rPr>
        <w:t xml:space="preserve"> року  за адресою: м. Київ, вул. </w:t>
      </w:r>
      <w:proofErr w:type="spellStart"/>
      <w:r w:rsidRPr="00680755">
        <w:rPr>
          <w:sz w:val="20"/>
          <w:szCs w:val="20"/>
        </w:rPr>
        <w:t>Пухівська</w:t>
      </w:r>
      <w:proofErr w:type="spellEnd"/>
      <w:r w:rsidRPr="00680755">
        <w:rPr>
          <w:sz w:val="20"/>
          <w:szCs w:val="20"/>
        </w:rPr>
        <w:t xml:space="preserve">, 3  </w:t>
      </w:r>
      <w:proofErr w:type="spellStart"/>
      <w:r w:rsidRPr="00680755">
        <w:rPr>
          <w:sz w:val="20"/>
          <w:szCs w:val="20"/>
        </w:rPr>
        <w:t>адмінкорпус</w:t>
      </w:r>
      <w:proofErr w:type="spellEnd"/>
      <w:r w:rsidRPr="00680755">
        <w:rPr>
          <w:sz w:val="20"/>
          <w:szCs w:val="20"/>
        </w:rPr>
        <w:t>,</w:t>
      </w:r>
      <w:r w:rsidR="003252AD" w:rsidRPr="00680755">
        <w:rPr>
          <w:sz w:val="20"/>
          <w:szCs w:val="20"/>
        </w:rPr>
        <w:t xml:space="preserve"> </w:t>
      </w:r>
      <w:r w:rsidRPr="00680755">
        <w:rPr>
          <w:sz w:val="20"/>
          <w:szCs w:val="20"/>
        </w:rPr>
        <w:t xml:space="preserve"> другий поверх, актовий зал. Початок  роботи об 11.00, реєстрація акціонерів  та їх представників з 9.00 до  10.30 в день за місцем проведення зборів.</w:t>
      </w:r>
    </w:p>
    <w:p w:rsidR="00F7586C" w:rsidRPr="00680755" w:rsidRDefault="00F7586C" w:rsidP="00F7586C">
      <w:pPr>
        <w:ind w:left="708"/>
        <w:jc w:val="center"/>
        <w:rPr>
          <w:b/>
          <w:sz w:val="20"/>
          <w:szCs w:val="20"/>
          <w:u w:val="single"/>
        </w:rPr>
      </w:pPr>
      <w:r w:rsidRPr="00680755">
        <w:rPr>
          <w:b/>
          <w:sz w:val="20"/>
          <w:szCs w:val="20"/>
          <w:u w:val="single"/>
        </w:rPr>
        <w:t>Порядок денний</w:t>
      </w:r>
    </w:p>
    <w:p w:rsidR="00330EF1" w:rsidRPr="00680755" w:rsidRDefault="00330EF1" w:rsidP="00330EF1">
      <w:pPr>
        <w:pStyle w:val="a3"/>
        <w:numPr>
          <w:ilvl w:val="0"/>
          <w:numId w:val="5"/>
        </w:numPr>
        <w:jc w:val="both"/>
        <w:rPr>
          <w:sz w:val="20"/>
          <w:szCs w:val="20"/>
        </w:rPr>
      </w:pPr>
      <w:r w:rsidRPr="00680755">
        <w:rPr>
          <w:sz w:val="20"/>
          <w:szCs w:val="20"/>
        </w:rPr>
        <w:t>Обрання лічильної комісії загальних зборів та встановлення строку її повноваження.</w:t>
      </w:r>
    </w:p>
    <w:p w:rsidR="00330EF1" w:rsidRPr="00680755" w:rsidRDefault="00330EF1" w:rsidP="00330EF1">
      <w:pPr>
        <w:pStyle w:val="a3"/>
        <w:numPr>
          <w:ilvl w:val="0"/>
          <w:numId w:val="5"/>
        </w:numPr>
        <w:jc w:val="both"/>
        <w:rPr>
          <w:sz w:val="20"/>
          <w:szCs w:val="20"/>
        </w:rPr>
      </w:pPr>
      <w:r w:rsidRPr="00680755">
        <w:rPr>
          <w:sz w:val="20"/>
          <w:szCs w:val="20"/>
        </w:rPr>
        <w:t>Затвердження регламенту загальних зборів.</w:t>
      </w:r>
    </w:p>
    <w:p w:rsidR="00330EF1" w:rsidRPr="00680755" w:rsidRDefault="00330EF1" w:rsidP="00330EF1">
      <w:pPr>
        <w:pStyle w:val="a3"/>
        <w:numPr>
          <w:ilvl w:val="0"/>
          <w:numId w:val="5"/>
        </w:numPr>
        <w:jc w:val="both"/>
        <w:rPr>
          <w:sz w:val="20"/>
          <w:szCs w:val="20"/>
        </w:rPr>
      </w:pPr>
      <w:r w:rsidRPr="00680755">
        <w:rPr>
          <w:sz w:val="20"/>
          <w:szCs w:val="20"/>
        </w:rPr>
        <w:t>Звіт Виконавчого органу – Генерального директора  за результатами роботи в 2014 році та прийняття рішення за наслідками його розгляду.</w:t>
      </w:r>
    </w:p>
    <w:p w:rsidR="00330EF1" w:rsidRPr="00680755" w:rsidRDefault="00330EF1" w:rsidP="00330EF1">
      <w:pPr>
        <w:pStyle w:val="a3"/>
        <w:numPr>
          <w:ilvl w:val="0"/>
          <w:numId w:val="5"/>
        </w:numPr>
        <w:jc w:val="both"/>
        <w:rPr>
          <w:sz w:val="20"/>
          <w:szCs w:val="20"/>
        </w:rPr>
      </w:pPr>
      <w:r w:rsidRPr="00680755">
        <w:rPr>
          <w:sz w:val="20"/>
          <w:szCs w:val="20"/>
        </w:rPr>
        <w:t>Звіт  Наглядової ради за результатами роботи в 2014 році та прийняття рішення за наслідками його розгляду.</w:t>
      </w:r>
    </w:p>
    <w:p w:rsidR="00330EF1" w:rsidRPr="00680755" w:rsidRDefault="00330EF1" w:rsidP="00330EF1">
      <w:pPr>
        <w:pStyle w:val="a3"/>
        <w:numPr>
          <w:ilvl w:val="0"/>
          <w:numId w:val="5"/>
        </w:numPr>
        <w:jc w:val="both"/>
        <w:rPr>
          <w:sz w:val="20"/>
          <w:szCs w:val="20"/>
        </w:rPr>
      </w:pPr>
      <w:r w:rsidRPr="00680755">
        <w:rPr>
          <w:sz w:val="20"/>
          <w:szCs w:val="20"/>
        </w:rPr>
        <w:t>Затвердження результатів  фінансово-господарської діяльності дочірніх підприємств Товариства за 2014 рік.</w:t>
      </w:r>
    </w:p>
    <w:p w:rsidR="00330EF1" w:rsidRPr="00680755" w:rsidRDefault="00330EF1" w:rsidP="00330EF1">
      <w:pPr>
        <w:pStyle w:val="a3"/>
        <w:numPr>
          <w:ilvl w:val="0"/>
          <w:numId w:val="5"/>
        </w:numPr>
        <w:jc w:val="both"/>
        <w:rPr>
          <w:sz w:val="20"/>
          <w:szCs w:val="20"/>
        </w:rPr>
      </w:pPr>
      <w:r w:rsidRPr="00680755">
        <w:rPr>
          <w:sz w:val="20"/>
          <w:szCs w:val="20"/>
        </w:rPr>
        <w:t>Затвердження річного консолідованого (включно з дочірніми підприємствами) звіту про результати фінансово-господарської діяльності Товариства за 2014 рік.</w:t>
      </w:r>
    </w:p>
    <w:p w:rsidR="00330EF1" w:rsidRPr="00680755" w:rsidRDefault="00330EF1" w:rsidP="00330EF1">
      <w:pPr>
        <w:pStyle w:val="a3"/>
        <w:numPr>
          <w:ilvl w:val="0"/>
          <w:numId w:val="5"/>
        </w:numPr>
        <w:jc w:val="both"/>
        <w:rPr>
          <w:sz w:val="20"/>
          <w:szCs w:val="20"/>
        </w:rPr>
      </w:pPr>
      <w:r w:rsidRPr="00680755">
        <w:rPr>
          <w:sz w:val="20"/>
          <w:szCs w:val="20"/>
        </w:rPr>
        <w:t xml:space="preserve">Розподіл чистого та нерозподіленого прибутку дочірніх підприємств Товариства на кінець 2014 рік на  виплату дивідендів на корпоративні права Товариства. Встановлення розміру дивідендів  на корпоративні права Засновника (Власника) з чистого /нерозподіленого прибутку  </w:t>
      </w:r>
      <w:proofErr w:type="spellStart"/>
      <w:r w:rsidRPr="00680755">
        <w:rPr>
          <w:sz w:val="20"/>
          <w:szCs w:val="20"/>
        </w:rPr>
        <w:t>ДП</w:t>
      </w:r>
      <w:proofErr w:type="spellEnd"/>
      <w:r w:rsidRPr="00680755">
        <w:rPr>
          <w:sz w:val="20"/>
          <w:szCs w:val="20"/>
        </w:rPr>
        <w:t xml:space="preserve"> на кінець 2015 року.</w:t>
      </w:r>
    </w:p>
    <w:p w:rsidR="00330EF1" w:rsidRPr="00680755" w:rsidRDefault="00330EF1" w:rsidP="00330EF1">
      <w:pPr>
        <w:pStyle w:val="a3"/>
        <w:numPr>
          <w:ilvl w:val="0"/>
          <w:numId w:val="5"/>
        </w:numPr>
        <w:jc w:val="both"/>
        <w:rPr>
          <w:sz w:val="20"/>
          <w:szCs w:val="20"/>
        </w:rPr>
      </w:pPr>
      <w:r w:rsidRPr="00680755">
        <w:rPr>
          <w:sz w:val="20"/>
          <w:szCs w:val="20"/>
        </w:rPr>
        <w:t>Використання нерозподіленого  прибутку Товариства на виплату дивідендів за 2014 рік, в тому числі прийняття  рішення про розмір дивідендів. Встановлення мінімального розміру чистого  прибутку за</w:t>
      </w:r>
      <w:r w:rsidR="009860AE" w:rsidRPr="00680755">
        <w:rPr>
          <w:sz w:val="20"/>
          <w:szCs w:val="20"/>
        </w:rPr>
        <w:t xml:space="preserve"> 2015 рік</w:t>
      </w:r>
      <w:r w:rsidRPr="00680755">
        <w:rPr>
          <w:sz w:val="20"/>
          <w:szCs w:val="20"/>
        </w:rPr>
        <w:t xml:space="preserve">.  </w:t>
      </w:r>
    </w:p>
    <w:p w:rsidR="00330EF1" w:rsidRPr="00680755" w:rsidRDefault="00330EF1" w:rsidP="00330EF1">
      <w:pPr>
        <w:pStyle w:val="a3"/>
        <w:numPr>
          <w:ilvl w:val="0"/>
          <w:numId w:val="5"/>
        </w:numPr>
        <w:jc w:val="both"/>
        <w:rPr>
          <w:sz w:val="20"/>
          <w:szCs w:val="20"/>
        </w:rPr>
      </w:pPr>
      <w:r w:rsidRPr="00680755">
        <w:rPr>
          <w:sz w:val="20"/>
          <w:szCs w:val="20"/>
        </w:rPr>
        <w:t>Затвердження основних напрямків розвитку Товариства та його дочірніх підприємств  на 2015 рік.</w:t>
      </w:r>
    </w:p>
    <w:p w:rsidR="00330EF1" w:rsidRPr="00680755" w:rsidRDefault="00330EF1" w:rsidP="00330EF1">
      <w:pPr>
        <w:pStyle w:val="a3"/>
        <w:numPr>
          <w:ilvl w:val="0"/>
          <w:numId w:val="5"/>
        </w:numPr>
        <w:jc w:val="both"/>
        <w:rPr>
          <w:sz w:val="20"/>
          <w:szCs w:val="20"/>
        </w:rPr>
      </w:pPr>
      <w:r w:rsidRPr="00680755">
        <w:rPr>
          <w:sz w:val="20"/>
          <w:szCs w:val="20"/>
        </w:rPr>
        <w:t>Припинення повноважень Голови, заступника голови  та членів Наглядової ради.</w:t>
      </w:r>
    </w:p>
    <w:p w:rsidR="00330EF1" w:rsidRPr="00680755" w:rsidRDefault="00330EF1" w:rsidP="00330EF1">
      <w:pPr>
        <w:pStyle w:val="a3"/>
        <w:numPr>
          <w:ilvl w:val="0"/>
          <w:numId w:val="5"/>
        </w:numPr>
        <w:jc w:val="both"/>
        <w:rPr>
          <w:sz w:val="20"/>
          <w:szCs w:val="20"/>
        </w:rPr>
      </w:pPr>
      <w:r w:rsidRPr="00680755">
        <w:rPr>
          <w:sz w:val="20"/>
          <w:szCs w:val="20"/>
        </w:rPr>
        <w:t>Обрання членів Наглядової ради Товариства.</w:t>
      </w:r>
    </w:p>
    <w:p w:rsidR="00330EF1" w:rsidRPr="00680755" w:rsidRDefault="00330EF1" w:rsidP="00330EF1">
      <w:pPr>
        <w:pStyle w:val="a3"/>
        <w:numPr>
          <w:ilvl w:val="0"/>
          <w:numId w:val="5"/>
        </w:numPr>
        <w:jc w:val="both"/>
        <w:rPr>
          <w:sz w:val="20"/>
          <w:szCs w:val="20"/>
        </w:rPr>
      </w:pPr>
      <w:r w:rsidRPr="00680755">
        <w:rPr>
          <w:sz w:val="20"/>
          <w:szCs w:val="20"/>
        </w:rPr>
        <w:t>Припинення повноважень Виконавчого органу - Генерального директора.</w:t>
      </w:r>
    </w:p>
    <w:p w:rsidR="00330EF1" w:rsidRPr="00680755" w:rsidRDefault="00330EF1" w:rsidP="00330EF1">
      <w:pPr>
        <w:pStyle w:val="a3"/>
        <w:numPr>
          <w:ilvl w:val="0"/>
          <w:numId w:val="5"/>
        </w:numPr>
        <w:jc w:val="both"/>
        <w:rPr>
          <w:sz w:val="20"/>
          <w:szCs w:val="20"/>
        </w:rPr>
      </w:pPr>
      <w:r w:rsidRPr="00680755">
        <w:rPr>
          <w:sz w:val="20"/>
          <w:szCs w:val="20"/>
        </w:rPr>
        <w:t>Обрання Генерального директора Товариства.</w:t>
      </w:r>
    </w:p>
    <w:p w:rsidR="00C232B4" w:rsidRPr="00680755" w:rsidRDefault="00C232B4" w:rsidP="00C232B4">
      <w:pPr>
        <w:pStyle w:val="a3"/>
        <w:numPr>
          <w:ilvl w:val="0"/>
          <w:numId w:val="5"/>
        </w:numPr>
        <w:jc w:val="both"/>
        <w:rPr>
          <w:sz w:val="20"/>
          <w:szCs w:val="20"/>
        </w:rPr>
      </w:pPr>
      <w:r w:rsidRPr="00680755">
        <w:rPr>
          <w:sz w:val="20"/>
          <w:szCs w:val="20"/>
        </w:rPr>
        <w:t>Затвердження умов цивільно-правових договорів з Головою, заступником голови та  членами Наглядової  ради. Визначення особи уповноваженої від імені Товариства підписати цивільно-правові договори з Головою, заступником голови та членами Наглядової ради.</w:t>
      </w:r>
    </w:p>
    <w:p w:rsidR="00C232B4" w:rsidRPr="00680755" w:rsidRDefault="00C232B4" w:rsidP="00330EF1">
      <w:pPr>
        <w:pStyle w:val="a3"/>
        <w:numPr>
          <w:ilvl w:val="0"/>
          <w:numId w:val="5"/>
        </w:numPr>
        <w:jc w:val="both"/>
        <w:rPr>
          <w:sz w:val="20"/>
          <w:szCs w:val="20"/>
        </w:rPr>
      </w:pPr>
      <w:r w:rsidRPr="00680755">
        <w:rPr>
          <w:sz w:val="20"/>
          <w:szCs w:val="20"/>
        </w:rPr>
        <w:t>Затвердження умов конт</w:t>
      </w:r>
      <w:r w:rsidR="00AE634B" w:rsidRPr="00680755">
        <w:rPr>
          <w:sz w:val="20"/>
          <w:szCs w:val="20"/>
        </w:rPr>
        <w:t>ракту з Генеральним директором.</w:t>
      </w:r>
    </w:p>
    <w:p w:rsidR="00330EF1" w:rsidRPr="00680755" w:rsidRDefault="00330EF1" w:rsidP="00330EF1">
      <w:pPr>
        <w:pStyle w:val="a3"/>
        <w:numPr>
          <w:ilvl w:val="0"/>
          <w:numId w:val="5"/>
        </w:numPr>
        <w:jc w:val="both"/>
        <w:rPr>
          <w:sz w:val="20"/>
          <w:szCs w:val="20"/>
        </w:rPr>
      </w:pPr>
      <w:r w:rsidRPr="00680755">
        <w:rPr>
          <w:sz w:val="20"/>
          <w:szCs w:val="20"/>
        </w:rPr>
        <w:t>Внесення змін та доповнень до Статуту Товариства. Затвердження Статуту Товариства у новій редакції.</w:t>
      </w:r>
    </w:p>
    <w:p w:rsidR="00330EF1" w:rsidRPr="00680755" w:rsidRDefault="00330EF1" w:rsidP="00330EF1">
      <w:pPr>
        <w:pStyle w:val="a3"/>
        <w:numPr>
          <w:ilvl w:val="0"/>
          <w:numId w:val="5"/>
        </w:numPr>
        <w:jc w:val="both"/>
        <w:rPr>
          <w:sz w:val="20"/>
          <w:szCs w:val="20"/>
        </w:rPr>
      </w:pPr>
      <w:r w:rsidRPr="00680755">
        <w:rPr>
          <w:sz w:val="20"/>
          <w:szCs w:val="20"/>
        </w:rPr>
        <w:t>Внесення змін та доповнень до Статутів дочірніх підприємств Товариства. Затвердження Статутів дочірніх підприємств Товариства у новій редакції.</w:t>
      </w:r>
    </w:p>
    <w:p w:rsidR="00330EF1" w:rsidRPr="00680755" w:rsidRDefault="00330EF1" w:rsidP="00330EF1">
      <w:pPr>
        <w:pStyle w:val="a3"/>
        <w:numPr>
          <w:ilvl w:val="0"/>
          <w:numId w:val="5"/>
        </w:numPr>
        <w:jc w:val="both"/>
        <w:rPr>
          <w:sz w:val="20"/>
          <w:szCs w:val="20"/>
        </w:rPr>
      </w:pPr>
      <w:r w:rsidRPr="00680755">
        <w:rPr>
          <w:sz w:val="20"/>
          <w:szCs w:val="20"/>
        </w:rPr>
        <w:t>Внесення змін та доповнень до наступних Положень Товариства: Про загальні збори, Про наглядову раду, Про Виконавчий орган. Затвердження Положень Товариства: Про загальні збори, Про наглядову раду, Про виконавчий орган у новій редакції.</w:t>
      </w:r>
    </w:p>
    <w:p w:rsidR="00330EF1" w:rsidRPr="00680755" w:rsidRDefault="00330EF1" w:rsidP="00330EF1">
      <w:pPr>
        <w:pStyle w:val="a3"/>
        <w:numPr>
          <w:ilvl w:val="0"/>
          <w:numId w:val="5"/>
        </w:numPr>
        <w:jc w:val="both"/>
        <w:rPr>
          <w:sz w:val="20"/>
          <w:szCs w:val="20"/>
        </w:rPr>
      </w:pPr>
      <w:r w:rsidRPr="00680755">
        <w:rPr>
          <w:sz w:val="20"/>
          <w:szCs w:val="20"/>
        </w:rPr>
        <w:t>Відміна Положення про посадових осіб  ПАТ «Київсільелектро».</w:t>
      </w:r>
    </w:p>
    <w:p w:rsidR="00330EF1" w:rsidRPr="00680755" w:rsidRDefault="00330EF1" w:rsidP="00330EF1">
      <w:pPr>
        <w:pStyle w:val="a3"/>
        <w:numPr>
          <w:ilvl w:val="0"/>
          <w:numId w:val="5"/>
        </w:numPr>
        <w:tabs>
          <w:tab w:val="left" w:pos="1701"/>
        </w:tabs>
        <w:jc w:val="both"/>
        <w:rPr>
          <w:sz w:val="20"/>
          <w:szCs w:val="20"/>
        </w:rPr>
      </w:pPr>
      <w:r w:rsidRPr="00680755">
        <w:rPr>
          <w:sz w:val="20"/>
          <w:szCs w:val="20"/>
        </w:rPr>
        <w:t>Затвердження фактичного обсягу витрат за 2014 рік для забезпечення проведення загальних зборів Товариства, роботи  Наглядової ради та затвердження кошторису витрат на забезпечення проведення загальних зборів Товариства та  роботи Наглядової ради на 2015 рік.</w:t>
      </w:r>
    </w:p>
    <w:p w:rsidR="00330EF1" w:rsidRPr="00680755" w:rsidRDefault="00330EF1" w:rsidP="00330EF1">
      <w:pPr>
        <w:pStyle w:val="a3"/>
        <w:numPr>
          <w:ilvl w:val="0"/>
          <w:numId w:val="5"/>
        </w:numPr>
        <w:jc w:val="both"/>
        <w:rPr>
          <w:sz w:val="20"/>
          <w:szCs w:val="20"/>
        </w:rPr>
      </w:pPr>
      <w:r w:rsidRPr="00680755">
        <w:rPr>
          <w:sz w:val="20"/>
          <w:szCs w:val="20"/>
        </w:rPr>
        <w:t>Попереднє схвалення вчинення Товариством та його дочірніми підприємствами значних правочинів у ході поточної господарської діяльності протягом 2015 року.</w:t>
      </w:r>
    </w:p>
    <w:p w:rsidR="00AE370A" w:rsidRPr="00680755" w:rsidRDefault="00AE370A" w:rsidP="00AE370A">
      <w:pPr>
        <w:spacing w:after="0"/>
        <w:ind w:firstLine="360"/>
        <w:jc w:val="both"/>
        <w:rPr>
          <w:sz w:val="20"/>
          <w:szCs w:val="20"/>
        </w:rPr>
      </w:pPr>
      <w:r w:rsidRPr="00680755">
        <w:rPr>
          <w:sz w:val="20"/>
          <w:szCs w:val="20"/>
        </w:rPr>
        <w:t xml:space="preserve">Дата складання  переліку акціонерів, які мають право  на участь у загальних зборах – </w:t>
      </w:r>
      <w:r w:rsidR="004965E4" w:rsidRPr="00680755">
        <w:rPr>
          <w:sz w:val="20"/>
          <w:szCs w:val="20"/>
        </w:rPr>
        <w:t>09</w:t>
      </w:r>
      <w:r w:rsidRPr="00680755">
        <w:rPr>
          <w:sz w:val="20"/>
          <w:szCs w:val="20"/>
        </w:rPr>
        <w:t xml:space="preserve"> квітня 201</w:t>
      </w:r>
      <w:r w:rsidR="00F7586C" w:rsidRPr="00680755">
        <w:rPr>
          <w:sz w:val="20"/>
          <w:szCs w:val="20"/>
        </w:rPr>
        <w:t>5</w:t>
      </w:r>
      <w:r w:rsidRPr="00680755">
        <w:rPr>
          <w:sz w:val="20"/>
          <w:szCs w:val="20"/>
        </w:rPr>
        <w:t xml:space="preserve"> року.</w:t>
      </w:r>
    </w:p>
    <w:p w:rsidR="00B671B2" w:rsidRPr="00680755" w:rsidRDefault="00B671B2" w:rsidP="00B671B2">
      <w:pPr>
        <w:pStyle w:val="a3"/>
        <w:ind w:left="0" w:firstLine="720"/>
        <w:jc w:val="both"/>
        <w:rPr>
          <w:sz w:val="20"/>
          <w:szCs w:val="20"/>
        </w:rPr>
      </w:pPr>
      <w:r w:rsidRPr="00680755">
        <w:rPr>
          <w:sz w:val="20"/>
          <w:szCs w:val="20"/>
        </w:rPr>
        <w:t xml:space="preserve">Акціонери або їх уповноважені представники можуть ознайомитися з документами, необхідними для прийняття рішень з питань порядку денного з 16 березня 2015 року (понеділок-четвер, з 9-00 до 12-00 та  </w:t>
      </w:r>
      <w:r w:rsidRPr="00680755">
        <w:rPr>
          <w:sz w:val="20"/>
          <w:szCs w:val="20"/>
        </w:rPr>
        <w:lastRenderedPageBreak/>
        <w:t>з 13-00 до 15-00) в приміщенні Товариства за адресою: м. Київ, вул. Л. Толстого, 55-А  та в день проведення зборів за вказаною в повідомлені про скликання зборів адресою.</w:t>
      </w:r>
    </w:p>
    <w:p w:rsidR="00E30252" w:rsidRPr="00680755" w:rsidRDefault="00E30252" w:rsidP="00F12D89">
      <w:pPr>
        <w:rPr>
          <w:rFonts w:eastAsia="Times New Roman"/>
          <w:b/>
          <w:sz w:val="20"/>
          <w:szCs w:val="20"/>
        </w:rPr>
      </w:pPr>
      <w:r w:rsidRPr="00680755">
        <w:rPr>
          <w:rFonts w:eastAsia="Times New Roman"/>
          <w:b/>
          <w:sz w:val="20"/>
          <w:szCs w:val="20"/>
        </w:rPr>
        <w:t>Основні показники фінансово-господарської діяльності підприємства (тис. 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70"/>
        <w:gridCol w:w="1472"/>
        <w:gridCol w:w="1891"/>
      </w:tblGrid>
      <w:tr w:rsidR="00E30252" w:rsidRPr="00680755" w:rsidTr="00E602DC">
        <w:trPr>
          <w:tblCellSpacing w:w="22" w:type="dxa"/>
        </w:trPr>
        <w:tc>
          <w:tcPr>
            <w:tcW w:w="3217" w:type="pct"/>
            <w:vMerge w:val="restart"/>
            <w:tcBorders>
              <w:top w:val="outset" w:sz="6" w:space="0" w:color="auto"/>
              <w:left w:val="outset" w:sz="6" w:space="0" w:color="auto"/>
              <w:bottom w:val="outset" w:sz="6" w:space="0" w:color="auto"/>
              <w:right w:val="outset" w:sz="6" w:space="0" w:color="auto"/>
            </w:tcBorders>
            <w:hideMark/>
          </w:tcPr>
          <w:p w:rsidR="00E30252" w:rsidRPr="00680755" w:rsidRDefault="00E30252" w:rsidP="003A7F20">
            <w:pPr>
              <w:pStyle w:val="a4"/>
              <w:jc w:val="center"/>
              <w:rPr>
                <w:sz w:val="20"/>
                <w:szCs w:val="20"/>
                <w:lang w:val="uk-UA"/>
              </w:rPr>
            </w:pPr>
            <w:r w:rsidRPr="00680755">
              <w:rPr>
                <w:sz w:val="20"/>
                <w:szCs w:val="20"/>
                <w:lang w:val="uk-UA"/>
              </w:rPr>
              <w:t>Найменування показника </w:t>
            </w:r>
          </w:p>
        </w:tc>
        <w:tc>
          <w:tcPr>
            <w:tcW w:w="1714" w:type="pct"/>
            <w:gridSpan w:val="2"/>
            <w:tcBorders>
              <w:top w:val="outset" w:sz="6" w:space="0" w:color="auto"/>
              <w:left w:val="outset" w:sz="6" w:space="0" w:color="auto"/>
              <w:bottom w:val="outset" w:sz="6" w:space="0" w:color="auto"/>
              <w:right w:val="outset" w:sz="6" w:space="0" w:color="auto"/>
            </w:tcBorders>
            <w:hideMark/>
          </w:tcPr>
          <w:p w:rsidR="00E30252" w:rsidRPr="00680755" w:rsidRDefault="00E30252" w:rsidP="003A7F20">
            <w:pPr>
              <w:pStyle w:val="a4"/>
              <w:jc w:val="center"/>
              <w:rPr>
                <w:sz w:val="20"/>
                <w:szCs w:val="20"/>
                <w:lang w:val="uk-UA"/>
              </w:rPr>
            </w:pPr>
            <w:r w:rsidRPr="00680755">
              <w:rPr>
                <w:sz w:val="20"/>
                <w:szCs w:val="20"/>
                <w:lang w:val="uk-UA"/>
              </w:rPr>
              <w:t>Період  (рік)</w:t>
            </w:r>
          </w:p>
        </w:tc>
      </w:tr>
      <w:tr w:rsidR="00E30252" w:rsidRPr="00680755" w:rsidTr="00E602D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252" w:rsidRPr="00680755" w:rsidRDefault="00E30252" w:rsidP="003A7F20">
            <w:pPr>
              <w:rPr>
                <w:sz w:val="20"/>
                <w:szCs w:val="20"/>
              </w:rPr>
            </w:pPr>
          </w:p>
        </w:tc>
        <w:tc>
          <w:tcPr>
            <w:tcW w:w="752" w:type="pct"/>
            <w:tcBorders>
              <w:top w:val="outset" w:sz="6" w:space="0" w:color="auto"/>
              <w:left w:val="outset" w:sz="6" w:space="0" w:color="auto"/>
              <w:bottom w:val="outset" w:sz="6" w:space="0" w:color="auto"/>
              <w:right w:val="outset" w:sz="6" w:space="0" w:color="auto"/>
            </w:tcBorders>
            <w:hideMark/>
          </w:tcPr>
          <w:p w:rsidR="00E30252" w:rsidRPr="00680755" w:rsidRDefault="00E30252" w:rsidP="001B382F">
            <w:pPr>
              <w:pStyle w:val="a4"/>
              <w:jc w:val="center"/>
              <w:rPr>
                <w:sz w:val="20"/>
                <w:szCs w:val="20"/>
                <w:lang w:val="uk-UA"/>
              </w:rPr>
            </w:pPr>
            <w:r w:rsidRPr="00680755">
              <w:rPr>
                <w:sz w:val="20"/>
                <w:szCs w:val="20"/>
                <w:lang w:val="uk-UA"/>
              </w:rPr>
              <w:t>звітний (201</w:t>
            </w:r>
            <w:r w:rsidR="001B382F" w:rsidRPr="00680755">
              <w:rPr>
                <w:sz w:val="20"/>
                <w:szCs w:val="20"/>
                <w:lang w:val="uk-UA"/>
              </w:rPr>
              <w:t>4</w:t>
            </w:r>
            <w:r w:rsidRPr="00680755">
              <w:rPr>
                <w:sz w:val="20"/>
                <w:szCs w:val="20"/>
                <w:lang w:val="uk-UA"/>
              </w:rPr>
              <w:t>)</w:t>
            </w:r>
          </w:p>
        </w:tc>
        <w:tc>
          <w:tcPr>
            <w:tcW w:w="939" w:type="pct"/>
            <w:tcBorders>
              <w:top w:val="outset" w:sz="6" w:space="0" w:color="auto"/>
              <w:left w:val="outset" w:sz="6" w:space="0" w:color="auto"/>
              <w:bottom w:val="outset" w:sz="6" w:space="0" w:color="auto"/>
              <w:right w:val="outset" w:sz="6" w:space="0" w:color="auto"/>
            </w:tcBorders>
            <w:hideMark/>
          </w:tcPr>
          <w:p w:rsidR="00E30252" w:rsidRPr="00680755" w:rsidRDefault="00E30252" w:rsidP="003A7F20">
            <w:pPr>
              <w:pStyle w:val="a4"/>
              <w:jc w:val="center"/>
              <w:rPr>
                <w:sz w:val="20"/>
                <w:szCs w:val="20"/>
                <w:lang w:val="uk-UA"/>
              </w:rPr>
            </w:pPr>
            <w:r w:rsidRPr="00680755">
              <w:rPr>
                <w:sz w:val="20"/>
                <w:szCs w:val="20"/>
                <w:lang w:val="uk-UA"/>
              </w:rPr>
              <w:t>попередній </w:t>
            </w:r>
            <w:r w:rsidR="001B382F" w:rsidRPr="00680755">
              <w:rPr>
                <w:sz w:val="20"/>
                <w:szCs w:val="20"/>
                <w:lang w:val="uk-UA"/>
              </w:rPr>
              <w:t>(2013</w:t>
            </w:r>
            <w:r w:rsidRPr="00680755">
              <w:rPr>
                <w:sz w:val="20"/>
                <w:szCs w:val="20"/>
                <w:lang w:val="uk-UA"/>
              </w:rPr>
              <w:t>)</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Усього активів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FE54C6" w:rsidP="00EC271A">
            <w:pPr>
              <w:pStyle w:val="a4"/>
              <w:jc w:val="center"/>
              <w:rPr>
                <w:sz w:val="20"/>
                <w:szCs w:val="20"/>
                <w:lang w:val="uk-UA"/>
              </w:rPr>
            </w:pPr>
            <w:r w:rsidRPr="00680755">
              <w:rPr>
                <w:sz w:val="20"/>
                <w:szCs w:val="20"/>
                <w:lang w:val="uk-UA"/>
              </w:rPr>
              <w:t>140432</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FE54C6" w:rsidP="000248BC">
            <w:pPr>
              <w:pStyle w:val="a4"/>
              <w:jc w:val="center"/>
              <w:rPr>
                <w:sz w:val="20"/>
                <w:szCs w:val="20"/>
                <w:lang w:val="uk-UA"/>
              </w:rPr>
            </w:pPr>
            <w:r w:rsidRPr="00680755">
              <w:rPr>
                <w:sz w:val="20"/>
                <w:szCs w:val="20"/>
                <w:lang w:val="uk-UA"/>
              </w:rPr>
              <w:t>130950</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Основні засоби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FE54C6" w:rsidP="00EC271A">
            <w:pPr>
              <w:pStyle w:val="a4"/>
              <w:jc w:val="center"/>
              <w:rPr>
                <w:sz w:val="20"/>
                <w:szCs w:val="20"/>
                <w:lang w:val="uk-UA"/>
              </w:rPr>
            </w:pPr>
            <w:r w:rsidRPr="00680755">
              <w:rPr>
                <w:sz w:val="20"/>
                <w:szCs w:val="20"/>
                <w:lang w:val="uk-UA"/>
              </w:rPr>
              <w:t>27880</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FE54C6" w:rsidP="000248BC">
            <w:pPr>
              <w:pStyle w:val="a4"/>
              <w:jc w:val="center"/>
              <w:rPr>
                <w:sz w:val="20"/>
                <w:szCs w:val="20"/>
                <w:lang w:val="uk-UA"/>
              </w:rPr>
            </w:pPr>
            <w:r w:rsidRPr="00680755">
              <w:rPr>
                <w:sz w:val="20"/>
                <w:szCs w:val="20"/>
                <w:lang w:val="uk-UA"/>
              </w:rPr>
              <w:t>29271</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Довгострокові фінансові інвестиції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FE54C6" w:rsidP="00EC271A">
            <w:pPr>
              <w:pStyle w:val="a4"/>
              <w:jc w:val="center"/>
              <w:rPr>
                <w:sz w:val="20"/>
                <w:szCs w:val="20"/>
                <w:lang w:val="uk-UA"/>
              </w:rPr>
            </w:pPr>
            <w:r w:rsidRPr="00680755">
              <w:rPr>
                <w:sz w:val="20"/>
                <w:szCs w:val="20"/>
                <w:lang w:val="uk-UA"/>
              </w:rPr>
              <w:t>-</w:t>
            </w:r>
          </w:p>
        </w:tc>
        <w:tc>
          <w:tcPr>
            <w:tcW w:w="939" w:type="pct"/>
            <w:tcBorders>
              <w:top w:val="outset" w:sz="6" w:space="0" w:color="auto"/>
              <w:left w:val="outset" w:sz="6" w:space="0" w:color="auto"/>
              <w:bottom w:val="outset" w:sz="6" w:space="0" w:color="auto"/>
              <w:right w:val="outset" w:sz="6" w:space="0" w:color="auto"/>
            </w:tcBorders>
            <w:hideMark/>
          </w:tcPr>
          <w:p w:rsidR="00FE54C6" w:rsidRPr="00680755" w:rsidRDefault="00FE54C6" w:rsidP="00FE54C6">
            <w:pPr>
              <w:pStyle w:val="a4"/>
              <w:jc w:val="center"/>
              <w:rPr>
                <w:sz w:val="20"/>
                <w:szCs w:val="20"/>
                <w:lang w:val="uk-UA"/>
              </w:rPr>
            </w:pPr>
            <w:r w:rsidRPr="00680755">
              <w:rPr>
                <w:sz w:val="20"/>
                <w:szCs w:val="20"/>
                <w:lang w:val="uk-UA"/>
              </w:rPr>
              <w:t>-</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Запаси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FE54C6" w:rsidP="00EC271A">
            <w:pPr>
              <w:pStyle w:val="a4"/>
              <w:jc w:val="center"/>
              <w:rPr>
                <w:sz w:val="20"/>
                <w:szCs w:val="20"/>
                <w:lang w:val="uk-UA"/>
              </w:rPr>
            </w:pPr>
            <w:r w:rsidRPr="00680755">
              <w:rPr>
                <w:sz w:val="20"/>
                <w:szCs w:val="20"/>
                <w:lang w:val="uk-UA"/>
              </w:rPr>
              <w:t>16914</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FE54C6" w:rsidP="000248BC">
            <w:pPr>
              <w:pStyle w:val="a4"/>
              <w:jc w:val="center"/>
              <w:rPr>
                <w:sz w:val="20"/>
                <w:szCs w:val="20"/>
                <w:lang w:val="uk-UA"/>
              </w:rPr>
            </w:pPr>
            <w:r w:rsidRPr="00680755">
              <w:rPr>
                <w:sz w:val="20"/>
                <w:szCs w:val="20"/>
                <w:lang w:val="uk-UA"/>
              </w:rPr>
              <w:t>22362</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Сумарна дебіторська заборгованість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FE54C6" w:rsidP="00EC271A">
            <w:pPr>
              <w:pStyle w:val="a4"/>
              <w:jc w:val="center"/>
              <w:rPr>
                <w:sz w:val="20"/>
                <w:szCs w:val="20"/>
                <w:lang w:val="uk-UA"/>
              </w:rPr>
            </w:pPr>
            <w:r w:rsidRPr="00680755">
              <w:rPr>
                <w:sz w:val="20"/>
                <w:szCs w:val="20"/>
                <w:lang w:val="uk-UA"/>
              </w:rPr>
              <w:t>81 387</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FE54C6" w:rsidP="000248BC">
            <w:pPr>
              <w:pStyle w:val="a4"/>
              <w:jc w:val="center"/>
              <w:rPr>
                <w:sz w:val="20"/>
                <w:szCs w:val="20"/>
                <w:lang w:val="uk-UA"/>
              </w:rPr>
            </w:pPr>
            <w:r w:rsidRPr="00680755">
              <w:rPr>
                <w:sz w:val="20"/>
                <w:szCs w:val="20"/>
                <w:lang w:val="uk-UA"/>
              </w:rPr>
              <w:t>46 571</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Грошові кошти та їх еквіваленти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14 159</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32 650</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Нерозподілений прибуток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64 845</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68 878</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Власний капітал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93 628</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93 731</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Статутний капітал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8 750</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8 750</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Довгострокові зобов'язання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Поточні зобов'язання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46 804</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33 219</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Чистий прибуток (збиток)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870978">
            <w:pPr>
              <w:pStyle w:val="a4"/>
              <w:numPr>
                <w:ilvl w:val="0"/>
                <w:numId w:val="8"/>
              </w:numPr>
              <w:tabs>
                <w:tab w:val="left" w:pos="0"/>
                <w:tab w:val="left" w:pos="373"/>
                <w:tab w:val="left" w:pos="515"/>
              </w:tabs>
              <w:ind w:left="89" w:hanging="13"/>
              <w:jc w:val="center"/>
              <w:rPr>
                <w:sz w:val="20"/>
                <w:szCs w:val="20"/>
                <w:lang w:val="uk-UA"/>
              </w:rPr>
            </w:pPr>
            <w:r w:rsidRPr="00680755">
              <w:rPr>
                <w:sz w:val="20"/>
                <w:szCs w:val="20"/>
                <w:lang w:val="uk-UA"/>
              </w:rPr>
              <w:t>4 031</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10 909</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Середньорічна кількість акцій (шт.)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25 000 000</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25 000 000</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Кількість власних акцій, викуплених протягом періоду (шт.)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Загальна сума коштів, витрачених на викуп власних акцій протягом періоду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w:t>
            </w:r>
          </w:p>
        </w:tc>
      </w:tr>
      <w:tr w:rsidR="00E602DC" w:rsidRPr="00680755" w:rsidTr="00E602DC">
        <w:trPr>
          <w:tblCellSpacing w:w="22" w:type="dxa"/>
        </w:trPr>
        <w:tc>
          <w:tcPr>
            <w:tcW w:w="3217" w:type="pct"/>
            <w:tcBorders>
              <w:top w:val="outset" w:sz="6" w:space="0" w:color="auto"/>
              <w:left w:val="outset" w:sz="6" w:space="0" w:color="auto"/>
              <w:bottom w:val="outset" w:sz="6" w:space="0" w:color="auto"/>
              <w:right w:val="outset" w:sz="6" w:space="0" w:color="auto"/>
            </w:tcBorders>
            <w:hideMark/>
          </w:tcPr>
          <w:p w:rsidR="00E602DC" w:rsidRPr="00680755" w:rsidRDefault="00E602DC" w:rsidP="003A7F20">
            <w:pPr>
              <w:pStyle w:val="a4"/>
              <w:rPr>
                <w:sz w:val="20"/>
                <w:szCs w:val="20"/>
                <w:lang w:val="uk-UA"/>
              </w:rPr>
            </w:pPr>
            <w:r w:rsidRPr="00680755">
              <w:rPr>
                <w:sz w:val="20"/>
                <w:szCs w:val="20"/>
                <w:lang w:val="uk-UA"/>
              </w:rPr>
              <w:t>Чисельність працівників на кінець періоду (осіб) </w:t>
            </w:r>
          </w:p>
        </w:tc>
        <w:tc>
          <w:tcPr>
            <w:tcW w:w="752" w:type="pct"/>
            <w:tcBorders>
              <w:top w:val="outset" w:sz="6" w:space="0" w:color="auto"/>
              <w:left w:val="outset" w:sz="6" w:space="0" w:color="auto"/>
              <w:bottom w:val="outset" w:sz="6" w:space="0" w:color="auto"/>
              <w:right w:val="outset" w:sz="6" w:space="0" w:color="auto"/>
            </w:tcBorders>
            <w:hideMark/>
          </w:tcPr>
          <w:p w:rsidR="00E602DC" w:rsidRPr="00680755" w:rsidRDefault="00870978" w:rsidP="00EC271A">
            <w:pPr>
              <w:pStyle w:val="a4"/>
              <w:jc w:val="center"/>
              <w:rPr>
                <w:sz w:val="20"/>
                <w:szCs w:val="20"/>
                <w:lang w:val="uk-UA"/>
              </w:rPr>
            </w:pPr>
            <w:r w:rsidRPr="00680755">
              <w:rPr>
                <w:sz w:val="20"/>
                <w:szCs w:val="20"/>
                <w:lang w:val="uk-UA"/>
              </w:rPr>
              <w:t>564</w:t>
            </w:r>
          </w:p>
        </w:tc>
        <w:tc>
          <w:tcPr>
            <w:tcW w:w="939" w:type="pct"/>
            <w:tcBorders>
              <w:top w:val="outset" w:sz="6" w:space="0" w:color="auto"/>
              <w:left w:val="outset" w:sz="6" w:space="0" w:color="auto"/>
              <w:bottom w:val="outset" w:sz="6" w:space="0" w:color="auto"/>
              <w:right w:val="outset" w:sz="6" w:space="0" w:color="auto"/>
            </w:tcBorders>
            <w:hideMark/>
          </w:tcPr>
          <w:p w:rsidR="00E602DC" w:rsidRPr="00680755" w:rsidRDefault="00870978" w:rsidP="000248BC">
            <w:pPr>
              <w:pStyle w:val="a4"/>
              <w:jc w:val="center"/>
              <w:rPr>
                <w:sz w:val="20"/>
                <w:szCs w:val="20"/>
                <w:lang w:val="uk-UA"/>
              </w:rPr>
            </w:pPr>
            <w:r w:rsidRPr="00680755">
              <w:rPr>
                <w:sz w:val="20"/>
                <w:szCs w:val="20"/>
                <w:lang w:val="uk-UA"/>
              </w:rPr>
              <w:t>570</w:t>
            </w:r>
          </w:p>
        </w:tc>
      </w:tr>
    </w:tbl>
    <w:p w:rsidR="00AB147F" w:rsidRPr="00680755" w:rsidRDefault="00AB147F" w:rsidP="00887374">
      <w:pPr>
        <w:pStyle w:val="a3"/>
        <w:ind w:left="0" w:firstLine="720"/>
        <w:jc w:val="both"/>
        <w:rPr>
          <w:sz w:val="20"/>
          <w:szCs w:val="20"/>
        </w:rPr>
      </w:pPr>
    </w:p>
    <w:p w:rsidR="00CF3EB7" w:rsidRPr="00680755" w:rsidRDefault="00046414" w:rsidP="00CF3EB7">
      <w:pPr>
        <w:pStyle w:val="a3"/>
        <w:jc w:val="both"/>
        <w:rPr>
          <w:sz w:val="20"/>
          <w:szCs w:val="20"/>
        </w:rPr>
      </w:pPr>
      <w:r w:rsidRPr="00680755">
        <w:rPr>
          <w:sz w:val="20"/>
          <w:szCs w:val="20"/>
        </w:rPr>
        <w:t>Телефон для довідок: (044) 2843400</w:t>
      </w:r>
    </w:p>
    <w:p w:rsidR="00046414" w:rsidRPr="00EB4A0A" w:rsidRDefault="00046414" w:rsidP="00CF3EB7">
      <w:pPr>
        <w:pStyle w:val="a3"/>
        <w:jc w:val="both"/>
        <w:rPr>
          <w:sz w:val="20"/>
          <w:szCs w:val="20"/>
        </w:rPr>
      </w:pPr>
      <w:r w:rsidRPr="00EB4A0A">
        <w:rPr>
          <w:sz w:val="20"/>
          <w:szCs w:val="20"/>
        </w:rPr>
        <w:t>Наглядова рада Товариства</w:t>
      </w:r>
    </w:p>
    <w:p w:rsidR="00680755" w:rsidRPr="00EB4A0A" w:rsidRDefault="00680755" w:rsidP="00CF3EB7">
      <w:pPr>
        <w:pStyle w:val="a3"/>
        <w:jc w:val="both"/>
        <w:rPr>
          <w:sz w:val="20"/>
          <w:szCs w:val="20"/>
        </w:rPr>
      </w:pPr>
    </w:p>
    <w:sectPr w:rsidR="00680755" w:rsidRPr="00EB4A0A" w:rsidSect="002D6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1DD"/>
    <w:multiLevelType w:val="hybridMultilevel"/>
    <w:tmpl w:val="27A66AA4"/>
    <w:lvl w:ilvl="0" w:tplc="705ABC30">
      <w:start w:val="3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E95119"/>
    <w:multiLevelType w:val="hybridMultilevel"/>
    <w:tmpl w:val="F0441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66650B"/>
    <w:multiLevelType w:val="multilevel"/>
    <w:tmpl w:val="5922F1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C107A64"/>
    <w:multiLevelType w:val="hybridMultilevel"/>
    <w:tmpl w:val="9A5C2B0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51377B6C"/>
    <w:multiLevelType w:val="hybridMultilevel"/>
    <w:tmpl w:val="12686944"/>
    <w:lvl w:ilvl="0" w:tplc="3C2AAA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1F708D5"/>
    <w:multiLevelType w:val="hybridMultilevel"/>
    <w:tmpl w:val="191C8ECC"/>
    <w:lvl w:ilvl="0" w:tplc="7D3A9038">
      <w:start w:val="3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D546E7"/>
    <w:multiLevelType w:val="hybridMultilevel"/>
    <w:tmpl w:val="42CABB9E"/>
    <w:lvl w:ilvl="0" w:tplc="E8DA9CFE">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9C0B01"/>
    <w:multiLevelType w:val="hybridMultilevel"/>
    <w:tmpl w:val="8D021428"/>
    <w:lvl w:ilvl="0" w:tplc="443AB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6FD"/>
    <w:rsid w:val="000248BC"/>
    <w:rsid w:val="00046414"/>
    <w:rsid w:val="00053605"/>
    <w:rsid w:val="00081C34"/>
    <w:rsid w:val="00087B43"/>
    <w:rsid w:val="000C00C0"/>
    <w:rsid w:val="000C2716"/>
    <w:rsid w:val="000D4473"/>
    <w:rsid w:val="000D480D"/>
    <w:rsid w:val="000E1204"/>
    <w:rsid w:val="000E4F11"/>
    <w:rsid w:val="00152530"/>
    <w:rsid w:val="00171877"/>
    <w:rsid w:val="0019393D"/>
    <w:rsid w:val="001939D5"/>
    <w:rsid w:val="001B382F"/>
    <w:rsid w:val="001D10B1"/>
    <w:rsid w:val="001F3AE0"/>
    <w:rsid w:val="0022214C"/>
    <w:rsid w:val="00223ABA"/>
    <w:rsid w:val="00267D0D"/>
    <w:rsid w:val="00267DB8"/>
    <w:rsid w:val="00286080"/>
    <w:rsid w:val="00294022"/>
    <w:rsid w:val="002C5034"/>
    <w:rsid w:val="002C563C"/>
    <w:rsid w:val="002D3905"/>
    <w:rsid w:val="002D6E97"/>
    <w:rsid w:val="00305117"/>
    <w:rsid w:val="003252AD"/>
    <w:rsid w:val="003302D3"/>
    <w:rsid w:val="003303B5"/>
    <w:rsid w:val="00330EF1"/>
    <w:rsid w:val="00340C78"/>
    <w:rsid w:val="00385BB8"/>
    <w:rsid w:val="003978BC"/>
    <w:rsid w:val="003B3B27"/>
    <w:rsid w:val="003C0AE8"/>
    <w:rsid w:val="003C3116"/>
    <w:rsid w:val="00430696"/>
    <w:rsid w:val="00442047"/>
    <w:rsid w:val="00447EC2"/>
    <w:rsid w:val="00477CD2"/>
    <w:rsid w:val="00481552"/>
    <w:rsid w:val="004965E4"/>
    <w:rsid w:val="004B5445"/>
    <w:rsid w:val="004D7394"/>
    <w:rsid w:val="005067B9"/>
    <w:rsid w:val="00514F5D"/>
    <w:rsid w:val="0052171C"/>
    <w:rsid w:val="005253DA"/>
    <w:rsid w:val="00527C5C"/>
    <w:rsid w:val="00536CED"/>
    <w:rsid w:val="00575966"/>
    <w:rsid w:val="005C0EBD"/>
    <w:rsid w:val="006367AA"/>
    <w:rsid w:val="0064146B"/>
    <w:rsid w:val="006445F7"/>
    <w:rsid w:val="006529A8"/>
    <w:rsid w:val="00655CF2"/>
    <w:rsid w:val="00660859"/>
    <w:rsid w:val="00664A62"/>
    <w:rsid w:val="00680755"/>
    <w:rsid w:val="006B47C4"/>
    <w:rsid w:val="006B4F57"/>
    <w:rsid w:val="006D375C"/>
    <w:rsid w:val="0070660F"/>
    <w:rsid w:val="0071691D"/>
    <w:rsid w:val="00717EE6"/>
    <w:rsid w:val="007205C2"/>
    <w:rsid w:val="007466FD"/>
    <w:rsid w:val="00760831"/>
    <w:rsid w:val="007629D2"/>
    <w:rsid w:val="007C3154"/>
    <w:rsid w:val="007E1865"/>
    <w:rsid w:val="007F0303"/>
    <w:rsid w:val="007F0713"/>
    <w:rsid w:val="00845073"/>
    <w:rsid w:val="0086504E"/>
    <w:rsid w:val="00870978"/>
    <w:rsid w:val="00873BBB"/>
    <w:rsid w:val="00884C42"/>
    <w:rsid w:val="008856D3"/>
    <w:rsid w:val="00887374"/>
    <w:rsid w:val="008A7F61"/>
    <w:rsid w:val="008D7FFE"/>
    <w:rsid w:val="008E3EF8"/>
    <w:rsid w:val="008F0A1A"/>
    <w:rsid w:val="009078B7"/>
    <w:rsid w:val="0091394C"/>
    <w:rsid w:val="0092345C"/>
    <w:rsid w:val="00946910"/>
    <w:rsid w:val="009860AE"/>
    <w:rsid w:val="00990823"/>
    <w:rsid w:val="009B5F34"/>
    <w:rsid w:val="009C7630"/>
    <w:rsid w:val="009F24F1"/>
    <w:rsid w:val="009F7F30"/>
    <w:rsid w:val="00A06B63"/>
    <w:rsid w:val="00A10418"/>
    <w:rsid w:val="00A166EF"/>
    <w:rsid w:val="00A17F1D"/>
    <w:rsid w:val="00A42589"/>
    <w:rsid w:val="00A47056"/>
    <w:rsid w:val="00A55BFC"/>
    <w:rsid w:val="00A612E8"/>
    <w:rsid w:val="00A63547"/>
    <w:rsid w:val="00A87DB0"/>
    <w:rsid w:val="00A941EE"/>
    <w:rsid w:val="00AA4832"/>
    <w:rsid w:val="00AB147F"/>
    <w:rsid w:val="00AE370A"/>
    <w:rsid w:val="00AE634B"/>
    <w:rsid w:val="00AF25AC"/>
    <w:rsid w:val="00AF6DA8"/>
    <w:rsid w:val="00B671B2"/>
    <w:rsid w:val="00B726F7"/>
    <w:rsid w:val="00B77D19"/>
    <w:rsid w:val="00B80A97"/>
    <w:rsid w:val="00B92C26"/>
    <w:rsid w:val="00BC19EB"/>
    <w:rsid w:val="00BC49B4"/>
    <w:rsid w:val="00BD7270"/>
    <w:rsid w:val="00BE7334"/>
    <w:rsid w:val="00C02D6E"/>
    <w:rsid w:val="00C232B4"/>
    <w:rsid w:val="00C2536C"/>
    <w:rsid w:val="00C2689B"/>
    <w:rsid w:val="00C45C74"/>
    <w:rsid w:val="00C55104"/>
    <w:rsid w:val="00C651F4"/>
    <w:rsid w:val="00C8324C"/>
    <w:rsid w:val="00C86CC0"/>
    <w:rsid w:val="00CA056C"/>
    <w:rsid w:val="00CA293D"/>
    <w:rsid w:val="00CF3173"/>
    <w:rsid w:val="00CF3EB7"/>
    <w:rsid w:val="00CF43ED"/>
    <w:rsid w:val="00D13218"/>
    <w:rsid w:val="00D1750B"/>
    <w:rsid w:val="00D62B48"/>
    <w:rsid w:val="00D73F7B"/>
    <w:rsid w:val="00D76373"/>
    <w:rsid w:val="00D8127C"/>
    <w:rsid w:val="00D84375"/>
    <w:rsid w:val="00D9423C"/>
    <w:rsid w:val="00D94715"/>
    <w:rsid w:val="00D96D0C"/>
    <w:rsid w:val="00DA013A"/>
    <w:rsid w:val="00DA1B94"/>
    <w:rsid w:val="00DA2A43"/>
    <w:rsid w:val="00E20FC3"/>
    <w:rsid w:val="00E21D7C"/>
    <w:rsid w:val="00E30252"/>
    <w:rsid w:val="00E4006F"/>
    <w:rsid w:val="00E602DC"/>
    <w:rsid w:val="00E70688"/>
    <w:rsid w:val="00E82141"/>
    <w:rsid w:val="00E90A41"/>
    <w:rsid w:val="00EB4A0A"/>
    <w:rsid w:val="00EC271A"/>
    <w:rsid w:val="00EC5AB5"/>
    <w:rsid w:val="00EC7638"/>
    <w:rsid w:val="00ED32EF"/>
    <w:rsid w:val="00EF01B6"/>
    <w:rsid w:val="00EF7886"/>
    <w:rsid w:val="00F01B1B"/>
    <w:rsid w:val="00F12D89"/>
    <w:rsid w:val="00F17124"/>
    <w:rsid w:val="00F5677A"/>
    <w:rsid w:val="00F57408"/>
    <w:rsid w:val="00F74A88"/>
    <w:rsid w:val="00F7586C"/>
    <w:rsid w:val="00F77F6B"/>
    <w:rsid w:val="00F91CA0"/>
    <w:rsid w:val="00F97CA0"/>
    <w:rsid w:val="00FD2E67"/>
    <w:rsid w:val="00FE54C6"/>
    <w:rsid w:val="00FF6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E97"/>
    <w:rPr>
      <w:lang w:val="uk-UA"/>
    </w:rPr>
  </w:style>
  <w:style w:type="paragraph" w:styleId="3">
    <w:name w:val="heading 3"/>
    <w:basedOn w:val="a"/>
    <w:link w:val="30"/>
    <w:uiPriority w:val="9"/>
    <w:qFormat/>
    <w:rsid w:val="00E30252"/>
    <w:pPr>
      <w:spacing w:before="100" w:beforeAutospacing="1" w:after="100" w:afterAutospacing="1" w:line="240" w:lineRule="auto"/>
      <w:outlineLvl w:val="2"/>
    </w:pPr>
    <w:rPr>
      <w:rFonts w:eastAsiaTheme="minorEastAsia"/>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C5C"/>
    <w:pPr>
      <w:ind w:left="720"/>
      <w:contextualSpacing/>
    </w:pPr>
  </w:style>
  <w:style w:type="character" w:customStyle="1" w:styleId="30">
    <w:name w:val="Заголовок 3 Знак"/>
    <w:basedOn w:val="a0"/>
    <w:link w:val="3"/>
    <w:uiPriority w:val="9"/>
    <w:rsid w:val="00E30252"/>
    <w:rPr>
      <w:rFonts w:eastAsiaTheme="minorEastAsia"/>
      <w:b/>
      <w:bCs/>
      <w:sz w:val="27"/>
      <w:szCs w:val="27"/>
      <w:lang w:eastAsia="ru-RU"/>
    </w:rPr>
  </w:style>
  <w:style w:type="paragraph" w:styleId="a4">
    <w:name w:val="Normal (Web)"/>
    <w:basedOn w:val="a"/>
    <w:uiPriority w:val="99"/>
    <w:unhideWhenUsed/>
    <w:rsid w:val="00E30252"/>
    <w:pPr>
      <w:spacing w:before="100" w:beforeAutospacing="1" w:after="100" w:afterAutospacing="1" w:line="240" w:lineRule="auto"/>
    </w:pPr>
    <w:rPr>
      <w:rFonts w:eastAsiaTheme="minorEastAsia"/>
      <w:lang w:val="ru-RU" w:eastAsia="ru-RU"/>
    </w:rPr>
  </w:style>
  <w:style w:type="paragraph" w:styleId="a5">
    <w:name w:val="Body Text Indent"/>
    <w:basedOn w:val="a"/>
    <w:link w:val="a6"/>
    <w:rsid w:val="00946910"/>
    <w:pPr>
      <w:overflowPunct w:val="0"/>
      <w:autoSpaceDE w:val="0"/>
      <w:autoSpaceDN w:val="0"/>
      <w:adjustRightInd w:val="0"/>
      <w:spacing w:after="0" w:line="240" w:lineRule="auto"/>
      <w:ind w:firstLine="562"/>
      <w:jc w:val="both"/>
      <w:textAlignment w:val="baseline"/>
    </w:pPr>
    <w:rPr>
      <w:rFonts w:ascii="Times New Roman CYR" w:eastAsia="Times New Roman" w:hAnsi="Times New Roman CYR" w:cs="Times New Roman CYR"/>
      <w:lang w:eastAsia="ru-RU"/>
    </w:rPr>
  </w:style>
  <w:style w:type="character" w:customStyle="1" w:styleId="a6">
    <w:name w:val="Основной текст с отступом Знак"/>
    <w:basedOn w:val="a0"/>
    <w:link w:val="a5"/>
    <w:rsid w:val="00946910"/>
    <w:rPr>
      <w:rFonts w:ascii="Times New Roman CYR" w:eastAsia="Times New Roman" w:hAnsi="Times New Roman CYR" w:cs="Times New Roman CYR"/>
      <w:lang w:val="uk-UA" w:eastAsia="ru-RU"/>
    </w:rPr>
  </w:style>
  <w:style w:type="paragraph" w:customStyle="1" w:styleId="rvps2">
    <w:name w:val="rvps2"/>
    <w:basedOn w:val="a"/>
    <w:rsid w:val="00680755"/>
    <w:pPr>
      <w:spacing w:before="100" w:beforeAutospacing="1" w:after="100" w:afterAutospacing="1" w:line="240" w:lineRule="auto"/>
    </w:pPr>
    <w:rPr>
      <w:rFonts w:eastAsia="Times New Roman"/>
      <w:lang w:val="ru-RU" w:eastAsia="ru-RU"/>
    </w:rPr>
  </w:style>
  <w:style w:type="paragraph" w:customStyle="1" w:styleId="rvps14">
    <w:name w:val="rvps14"/>
    <w:basedOn w:val="a"/>
    <w:rsid w:val="00680755"/>
    <w:pPr>
      <w:spacing w:before="100" w:beforeAutospacing="1" w:after="100" w:afterAutospacing="1" w:line="240" w:lineRule="auto"/>
    </w:pPr>
    <w:rPr>
      <w:rFonts w:eastAsia="Times New Roman"/>
      <w:lang w:val="ru-RU" w:eastAsia="ru-RU"/>
    </w:rPr>
  </w:style>
  <w:style w:type="paragraph" w:customStyle="1" w:styleId="rvps12">
    <w:name w:val="rvps12"/>
    <w:basedOn w:val="a"/>
    <w:rsid w:val="00680755"/>
    <w:pPr>
      <w:spacing w:before="100" w:beforeAutospacing="1" w:after="100" w:afterAutospacing="1" w:line="240" w:lineRule="auto"/>
    </w:pPr>
    <w:rPr>
      <w:rFonts w:eastAsia="Times New Roman"/>
      <w:lang w:val="ru-RU" w:eastAsia="ru-RU"/>
    </w:rPr>
  </w:style>
  <w:style w:type="character" w:customStyle="1" w:styleId="apple-converted-space">
    <w:name w:val="apple-converted-space"/>
    <w:basedOn w:val="a0"/>
    <w:rsid w:val="00680755"/>
  </w:style>
  <w:style w:type="character" w:customStyle="1" w:styleId="rvts82">
    <w:name w:val="rvts82"/>
    <w:basedOn w:val="a0"/>
    <w:rsid w:val="00680755"/>
  </w:style>
</w:styles>
</file>

<file path=word/webSettings.xml><?xml version="1.0" encoding="utf-8"?>
<w:webSettings xmlns:r="http://schemas.openxmlformats.org/officeDocument/2006/relationships" xmlns:w="http://schemas.openxmlformats.org/wordprocessingml/2006/main">
  <w:divs>
    <w:div w:id="1233003543">
      <w:bodyDiv w:val="1"/>
      <w:marLeft w:val="0"/>
      <w:marRight w:val="0"/>
      <w:marTop w:val="0"/>
      <w:marBottom w:val="0"/>
      <w:divBdr>
        <w:top w:val="none" w:sz="0" w:space="0" w:color="auto"/>
        <w:left w:val="none" w:sz="0" w:space="0" w:color="auto"/>
        <w:bottom w:val="none" w:sz="0" w:space="0" w:color="auto"/>
        <w:right w:val="none" w:sz="0" w:space="0" w:color="auto"/>
      </w:divBdr>
      <w:divsChild>
        <w:div w:id="1869442207">
          <w:marLeft w:val="0"/>
          <w:marRight w:val="0"/>
          <w:marTop w:val="0"/>
          <w:marBottom w:val="150"/>
          <w:divBdr>
            <w:top w:val="none" w:sz="0" w:space="0" w:color="auto"/>
            <w:left w:val="none" w:sz="0" w:space="0" w:color="auto"/>
            <w:bottom w:val="none" w:sz="0" w:space="0" w:color="auto"/>
            <w:right w:val="none" w:sz="0" w:space="0" w:color="auto"/>
          </w:divBdr>
        </w:div>
      </w:divsChild>
    </w:div>
    <w:div w:id="1949963156">
      <w:bodyDiv w:val="1"/>
      <w:marLeft w:val="0"/>
      <w:marRight w:val="0"/>
      <w:marTop w:val="0"/>
      <w:marBottom w:val="0"/>
      <w:divBdr>
        <w:top w:val="none" w:sz="0" w:space="0" w:color="auto"/>
        <w:left w:val="none" w:sz="0" w:space="0" w:color="auto"/>
        <w:bottom w:val="none" w:sz="0" w:space="0" w:color="auto"/>
        <w:right w:val="none" w:sz="0" w:space="0" w:color="auto"/>
      </w:divBdr>
      <w:divsChild>
        <w:div w:id="13311333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2207-9EC9-4042-AB03-2033B6B2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Київсільелектро</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Наталия</cp:lastModifiedBy>
  <cp:revision>2</cp:revision>
  <cp:lastPrinted>2015-03-12T07:43:00Z</cp:lastPrinted>
  <dcterms:created xsi:type="dcterms:W3CDTF">2015-03-12T08:07:00Z</dcterms:created>
  <dcterms:modified xsi:type="dcterms:W3CDTF">2015-03-12T08:07:00Z</dcterms:modified>
</cp:coreProperties>
</file>